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0" w:name="w2t2108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120731657" w:edGrp="everyone"/>
            <w:r>
              <w:rPr>
                <w:rFonts w:ascii="Calibri" w:hAnsi="Calibri" w:cs="Calibri"/>
                <w:szCs w:val="26"/>
              </w:rPr>
              <w:t>TCLD_ECNF_FCSP0</w:t>
            </w:r>
            <w:permEnd w:id="112073165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5" w:history="1">
              <w:r w:rsidRPr="005538F6">
                <w:rPr>
                  <w:rStyle w:val="Collegamentoipertestuale"/>
                  <w:rFonts w:ascii="Calibri" w:hAnsi="Calibri" w:cs="Calibri"/>
                  <w:szCs w:val="20"/>
                </w:rPr>
                <w:t>21084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6" w:history="1">
              <w:r w:rsidRPr="005538F6">
                <w:rPr>
                  <w:rStyle w:val="Collegamentoipertestuale"/>
                  <w:rFonts w:ascii="Calibri" w:hAnsi="Calibri" w:cs="Calibri"/>
                  <w:szCs w:val="20"/>
                </w:rPr>
                <w:t>115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102</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0"/>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538F6" w:rsidRDefault="005538F6" w:rsidP="00CF18D8">
            <w:pPr>
              <w:pStyle w:val="TFSWorkitem3"/>
              <w:keepLines/>
              <w:rPr>
                <w:lang w:val="it-IT"/>
              </w:rPr>
            </w:pPr>
            <w:r w:rsidRPr="005538F6">
              <w:rPr>
                <w:lang w:val="it-IT"/>
              </w:rPr>
              <w:t>Feature 21084 - Configurazione stati di previsione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92458071" w:edGrp="everyone" w:displacedByCustomXml="next"/>
        <w:sdt>
          <w:sdtPr>
            <w:rPr>
              <w:rFonts w:ascii="Calibri" w:hAnsi="Calibri" w:cs="Calibri"/>
              <w:color w:val="000000" w:themeColor="text1"/>
              <w:szCs w:val="20"/>
            </w:rPr>
            <w:id w:val="-81263775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99245807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683903005" w:edGrp="everyone"/>
            <w:r>
              <w:rPr>
                <w:rFonts w:ascii="Calibri" w:hAnsi="Calibri" w:cs="Calibri"/>
                <w:b/>
                <w:sz w:val="26"/>
                <w:szCs w:val="26"/>
              </w:rPr>
              <w:t>Configurazione stati di previsione</w:t>
            </w:r>
            <w:permEnd w:id="1683903005"/>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Pr="005538F6" w:rsidRDefault="005538F6" w:rsidP="005538F6">
            <w:pPr>
              <w:pStyle w:val="NormaleWeb"/>
              <w:spacing w:before="0" w:beforeAutospacing="0" w:after="63" w:afterAutospacing="0"/>
              <w:jc w:val="both"/>
              <w:rPr>
                <w:lang w:val="it-IT"/>
              </w:rPr>
            </w:pPr>
            <w:permStart w:id="136528853" w:edGrp="everyone"/>
            <w:r w:rsidRPr="005538F6">
              <w:rPr>
                <w:rFonts w:ascii="Tahoma" w:hAnsi="Tahoma" w:cs="Tahoma"/>
                <w:b/>
                <w:bCs/>
                <w:color w:val="000000"/>
                <w:sz w:val="22"/>
                <w:szCs w:val="22"/>
                <w:lang w:val="it-IT"/>
              </w:rPr>
              <w:t>Contesto di riferimento</w:t>
            </w:r>
          </w:p>
          <w:p w:rsidR="005538F6" w:rsidRPr="005538F6" w:rsidRDefault="005538F6" w:rsidP="005538F6">
            <w:pPr>
              <w:pStyle w:val="NormaleWeb"/>
              <w:spacing w:before="0" w:beforeAutospacing="0" w:after="63" w:afterAutospacing="0"/>
              <w:jc w:val="both"/>
              <w:rPr>
                <w:lang w:val="it-IT"/>
              </w:rPr>
            </w:pPr>
            <w:r w:rsidRPr="005538F6">
              <w:rPr>
                <w:rFonts w:ascii="Tahoma" w:hAnsi="Tahoma" w:cs="Tahoma"/>
                <w:color w:val="000000"/>
                <w:sz w:val="22"/>
                <w:szCs w:val="22"/>
                <w:lang w:val="it-IT"/>
              </w:rPr>
              <w:t>Il bilancio di previsione è un documento contabile approvato con Legge ordinaria dello Stato che espone in maniera sistematica il reperimento e l’impiego delle risorse pubbliche, come definiti dalle norme vigenti, e costituisce il principale riferimento per l’allocazione, la gestione e il monitoraggio delle entrate e delle spese dello Stato.</w:t>
            </w:r>
          </w:p>
          <w:p w:rsidR="005538F6" w:rsidRPr="005538F6" w:rsidRDefault="005538F6" w:rsidP="005538F6">
            <w:pPr>
              <w:pStyle w:val="NormaleWeb"/>
              <w:spacing w:before="0" w:beforeAutospacing="0" w:after="63" w:afterAutospacing="0"/>
              <w:jc w:val="both"/>
              <w:rPr>
                <w:lang w:val="it-IT"/>
              </w:rPr>
            </w:pPr>
            <w:r w:rsidRPr="005538F6">
              <w:rPr>
                <w:rFonts w:ascii="Tahoma" w:hAnsi="Tahoma" w:cs="Tahoma"/>
                <w:color w:val="000000"/>
                <w:sz w:val="22"/>
                <w:szCs w:val="22"/>
                <w:lang w:val="it-IT"/>
              </w:rPr>
              <w:t>Secondo quanto stabilito dalla legge di contabilità e finanza pubblica (legge 31 dicembre 2009, n. 196 e successive modificazioni), viene redatto annualmente con orizzonte triennale, anche se gli stanziamenti costituiscono limiti all’autorizzazione di spesa solo per il primo esercizio finanziario.</w:t>
            </w:r>
          </w:p>
          <w:p w:rsidR="005538F6" w:rsidRPr="005538F6" w:rsidRDefault="005538F6" w:rsidP="005538F6">
            <w:pPr>
              <w:pStyle w:val="NormaleWeb"/>
              <w:spacing w:before="0" w:beforeAutospacing="0" w:after="63" w:afterAutospacing="0"/>
              <w:jc w:val="both"/>
              <w:rPr>
                <w:lang w:val="it-IT"/>
              </w:rPr>
            </w:pPr>
            <w:r w:rsidRPr="005538F6">
              <w:rPr>
                <w:rFonts w:ascii="Tahoma" w:hAnsi="Tahoma" w:cs="Tahoma"/>
                <w:color w:val="000000"/>
                <w:sz w:val="22"/>
                <w:szCs w:val="22"/>
                <w:lang w:val="it-IT"/>
              </w:rPr>
              <w:t>Il nuovo disegno di legge di bilancio viene presentato al Parlamento entro il 20 ottobre di ogni anno, dando avvio all’iter normativo che porta, entro il 31 dicembre, all’approvazione del testo definitivo. Le modifiche apportate al bilancio nel corso della discussione parlamentare formano oggetto di apposita nota di variazioni.</w:t>
            </w:r>
          </w:p>
          <w:p w:rsidR="005538F6" w:rsidRPr="005538F6" w:rsidRDefault="005538F6" w:rsidP="005538F6">
            <w:pPr>
              <w:pStyle w:val="NormaleWeb"/>
              <w:spacing w:before="0" w:beforeAutospacing="0" w:after="63" w:afterAutospacing="0"/>
              <w:jc w:val="both"/>
              <w:rPr>
                <w:lang w:val="it-IT"/>
              </w:rPr>
            </w:pPr>
            <w:r w:rsidRPr="005538F6">
              <w:rPr>
                <w:rFonts w:ascii="Tahoma" w:hAnsi="Tahoma" w:cs="Tahoma"/>
                <w:b/>
                <w:bCs/>
                <w:color w:val="000000"/>
                <w:sz w:val="22"/>
                <w:szCs w:val="22"/>
                <w:lang w:val="it-IT"/>
              </w:rPr>
              <w:t>Il Bilancio dello stato è composto da uno stato di previsione per le entrate e tanti stati di previsione di spesa quanti sono i ministeri con portafoglio.</w:t>
            </w:r>
          </w:p>
          <w:p w:rsidR="005538F6" w:rsidRPr="005538F6" w:rsidRDefault="005538F6" w:rsidP="005538F6">
            <w:pPr>
              <w:pStyle w:val="NormaleWeb"/>
              <w:spacing w:before="0" w:beforeAutospacing="0" w:after="63" w:afterAutospacing="0"/>
              <w:jc w:val="both"/>
              <w:rPr>
                <w:lang w:val="it-IT"/>
              </w:rPr>
            </w:pPr>
            <w:r w:rsidRPr="005538F6">
              <w:rPr>
                <w:rFonts w:ascii="Tahoma" w:hAnsi="Tahoma" w:cs="Tahoma"/>
                <w:color w:val="000000"/>
                <w:sz w:val="22"/>
                <w:szCs w:val="22"/>
                <w:lang w:val="it-IT"/>
              </w:rPr>
              <w:t> </w:t>
            </w:r>
          </w:p>
          <w:p w:rsidR="005538F6" w:rsidRPr="005538F6" w:rsidRDefault="005538F6" w:rsidP="005538F6">
            <w:pPr>
              <w:pStyle w:val="NormaleWeb"/>
              <w:spacing w:before="0" w:beforeAutospacing="0" w:after="63" w:afterAutospacing="0"/>
              <w:jc w:val="both"/>
              <w:rPr>
                <w:lang w:val="it-IT"/>
              </w:rPr>
            </w:pPr>
            <w:r w:rsidRPr="005538F6">
              <w:rPr>
                <w:rFonts w:ascii="Tahoma" w:hAnsi="Tahoma" w:cs="Tahoma"/>
                <w:color w:val="000000"/>
                <w:sz w:val="22"/>
                <w:szCs w:val="22"/>
                <w:lang w:val="it-IT"/>
              </w:rPr>
              <w:t>*****************************</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 </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L’amministratore di sistema deve poter inserire, variare o eliminare gli stati di previsione all’interno del sistema, secondo quanto disposto dalla normativa vigente in ambito di bilancio di previsione dello Stato.</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L’amministratore di sistema deve poter acquisire le informazioni necessarie per la configurazione degli stati di previsione anche da fonti esterne e/o massivamente (ad es. protocollo di colloquio integrato con sistemi terzi).</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 xml:space="preserve">Nel caso di acquisizione da fonte esterna, </w:t>
            </w:r>
            <w:r w:rsidRPr="005538F6">
              <w:rPr>
                <w:rFonts w:ascii="Georgia" w:hAnsi="Georgia"/>
                <w:color w:val="000000"/>
                <w:sz w:val="22"/>
                <w:szCs w:val="22"/>
                <w:lang w:val="it-IT"/>
              </w:rPr>
              <w:t>deve essere possibile inviare anche le sole variazioni. In questo caso, il sistema deve gestire l’acquisizione delle sole variazioni.</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I dati minimali per la configurazione di uno stato di previsione sono:</w:t>
            </w:r>
          </w:p>
          <w:p w:rsidR="005538F6" w:rsidRPr="005538F6" w:rsidRDefault="005538F6" w:rsidP="005538F6">
            <w:pPr>
              <w:pStyle w:val="NormaleWeb"/>
              <w:spacing w:before="60" w:beforeAutospacing="0" w:after="60" w:afterAutospacing="0"/>
              <w:ind w:left="720" w:hanging="360"/>
              <w:jc w:val="both"/>
              <w:rPr>
                <w:lang w:val="it-IT"/>
              </w:rPr>
            </w:pPr>
            <w:r>
              <w:rPr>
                <w:rFonts w:ascii="Symbol" w:hAnsi="Symbol"/>
                <w:sz w:val="22"/>
                <w:szCs w:val="22"/>
              </w:rPr>
              <w:t></w:t>
            </w:r>
            <w:r w:rsidRPr="005538F6">
              <w:rPr>
                <w:sz w:val="14"/>
                <w:szCs w:val="14"/>
                <w:lang w:val="it-IT"/>
              </w:rPr>
              <w:t xml:space="preserve">         </w:t>
            </w:r>
            <w:r w:rsidRPr="005538F6">
              <w:rPr>
                <w:rFonts w:ascii="Tahoma" w:hAnsi="Tahoma" w:cs="Tahoma"/>
                <w:sz w:val="22"/>
                <w:szCs w:val="22"/>
                <w:lang w:val="it-IT"/>
              </w:rPr>
              <w:t>Codice stato di previsione</w:t>
            </w:r>
          </w:p>
          <w:p w:rsidR="005538F6" w:rsidRPr="005538F6" w:rsidRDefault="005538F6" w:rsidP="005538F6">
            <w:pPr>
              <w:pStyle w:val="NormaleWeb"/>
              <w:spacing w:before="60" w:beforeAutospacing="0" w:after="60" w:afterAutospacing="0"/>
              <w:ind w:left="720" w:hanging="360"/>
              <w:jc w:val="both"/>
              <w:rPr>
                <w:lang w:val="it-IT"/>
              </w:rPr>
            </w:pPr>
            <w:r>
              <w:rPr>
                <w:rFonts w:ascii="Symbol" w:hAnsi="Symbol"/>
                <w:color w:val="000000"/>
                <w:sz w:val="22"/>
                <w:szCs w:val="22"/>
              </w:rPr>
              <w:t></w:t>
            </w:r>
            <w:r w:rsidRPr="005538F6">
              <w:rPr>
                <w:color w:val="000000"/>
                <w:sz w:val="14"/>
                <w:szCs w:val="14"/>
                <w:lang w:val="it-IT"/>
              </w:rPr>
              <w:t xml:space="preserve">         </w:t>
            </w:r>
            <w:r w:rsidRPr="005538F6">
              <w:rPr>
                <w:rFonts w:ascii="Tahoma" w:hAnsi="Tahoma" w:cs="Tahoma"/>
                <w:color w:val="000000"/>
                <w:sz w:val="22"/>
                <w:szCs w:val="22"/>
                <w:lang w:val="it-IT"/>
              </w:rPr>
              <w:t>Descrizione stato di previsione</w:t>
            </w:r>
          </w:p>
          <w:p w:rsidR="005538F6" w:rsidRPr="005538F6" w:rsidRDefault="005538F6" w:rsidP="005538F6">
            <w:pPr>
              <w:pStyle w:val="NormaleWeb"/>
              <w:spacing w:before="60" w:beforeAutospacing="0" w:after="60" w:afterAutospacing="0"/>
              <w:ind w:left="720" w:hanging="360"/>
              <w:jc w:val="both"/>
              <w:rPr>
                <w:lang w:val="it-IT"/>
              </w:rPr>
            </w:pPr>
            <w:r>
              <w:rPr>
                <w:rFonts w:ascii="Symbol" w:hAnsi="Symbol"/>
                <w:color w:val="000000"/>
                <w:sz w:val="22"/>
                <w:szCs w:val="22"/>
              </w:rPr>
              <w:t></w:t>
            </w:r>
            <w:r w:rsidRPr="005538F6">
              <w:rPr>
                <w:color w:val="000000"/>
                <w:sz w:val="14"/>
                <w:szCs w:val="14"/>
                <w:lang w:val="it-IT"/>
              </w:rPr>
              <w:t xml:space="preserve">         </w:t>
            </w:r>
            <w:r w:rsidRPr="005538F6">
              <w:rPr>
                <w:rFonts w:ascii="Tahoma" w:hAnsi="Tahoma" w:cs="Tahoma"/>
                <w:color w:val="000000"/>
                <w:sz w:val="22"/>
                <w:szCs w:val="22"/>
                <w:lang w:val="it-IT"/>
              </w:rPr>
              <w:t>Codice appendice</w:t>
            </w:r>
          </w:p>
          <w:p w:rsidR="005538F6" w:rsidRPr="005538F6" w:rsidRDefault="005538F6" w:rsidP="005538F6">
            <w:pPr>
              <w:pStyle w:val="NormaleWeb"/>
              <w:spacing w:before="60" w:beforeAutospacing="0" w:after="60" w:afterAutospacing="0"/>
              <w:ind w:left="720" w:hanging="360"/>
              <w:jc w:val="both"/>
              <w:rPr>
                <w:lang w:val="it-IT"/>
              </w:rPr>
            </w:pPr>
            <w:r>
              <w:rPr>
                <w:rFonts w:ascii="Symbol" w:hAnsi="Symbol"/>
                <w:color w:val="000000"/>
                <w:sz w:val="22"/>
                <w:szCs w:val="22"/>
              </w:rPr>
              <w:t></w:t>
            </w:r>
            <w:r w:rsidRPr="005538F6">
              <w:rPr>
                <w:color w:val="000000"/>
                <w:sz w:val="14"/>
                <w:szCs w:val="14"/>
                <w:lang w:val="it-IT"/>
              </w:rPr>
              <w:t xml:space="preserve">         </w:t>
            </w:r>
            <w:r w:rsidRPr="005538F6">
              <w:rPr>
                <w:rFonts w:ascii="Tahoma" w:hAnsi="Tahoma" w:cs="Tahoma"/>
                <w:color w:val="000000"/>
                <w:sz w:val="22"/>
                <w:szCs w:val="22"/>
                <w:lang w:val="it-IT"/>
              </w:rPr>
              <w:t>Data di inizio validità</w:t>
            </w:r>
          </w:p>
          <w:p w:rsidR="005538F6" w:rsidRPr="005538F6" w:rsidRDefault="005538F6" w:rsidP="005538F6">
            <w:pPr>
              <w:pStyle w:val="NormaleWeb"/>
              <w:spacing w:before="60" w:beforeAutospacing="0" w:after="60" w:afterAutospacing="0"/>
              <w:ind w:left="720" w:hanging="360"/>
              <w:jc w:val="both"/>
              <w:rPr>
                <w:lang w:val="it-IT"/>
              </w:rPr>
            </w:pPr>
            <w:r>
              <w:rPr>
                <w:rFonts w:ascii="Symbol" w:hAnsi="Symbol"/>
                <w:color w:val="000000"/>
                <w:sz w:val="22"/>
                <w:szCs w:val="22"/>
              </w:rPr>
              <w:t></w:t>
            </w:r>
            <w:r w:rsidRPr="005538F6">
              <w:rPr>
                <w:color w:val="000000"/>
                <w:sz w:val="14"/>
                <w:szCs w:val="14"/>
                <w:lang w:val="it-IT"/>
              </w:rPr>
              <w:t xml:space="preserve">         </w:t>
            </w:r>
            <w:r w:rsidRPr="005538F6">
              <w:rPr>
                <w:rFonts w:ascii="Tahoma" w:hAnsi="Tahoma" w:cs="Tahoma"/>
                <w:color w:val="000000"/>
                <w:sz w:val="22"/>
                <w:szCs w:val="22"/>
                <w:lang w:val="it-IT"/>
              </w:rPr>
              <w:t>Data di fine validità</w:t>
            </w:r>
          </w:p>
          <w:p w:rsidR="005538F6" w:rsidRPr="005538F6" w:rsidRDefault="005538F6" w:rsidP="005538F6">
            <w:pPr>
              <w:pStyle w:val="NormaleWeb"/>
              <w:spacing w:before="60" w:beforeAutospacing="0" w:after="60" w:afterAutospacing="0"/>
              <w:ind w:left="720" w:hanging="360"/>
              <w:jc w:val="both"/>
              <w:rPr>
                <w:lang w:val="it-IT"/>
              </w:rPr>
            </w:pPr>
            <w:r>
              <w:rPr>
                <w:rFonts w:ascii="Symbol" w:hAnsi="Symbol"/>
                <w:color w:val="000000"/>
                <w:sz w:val="22"/>
                <w:szCs w:val="22"/>
              </w:rPr>
              <w:t></w:t>
            </w:r>
            <w:r w:rsidRPr="005538F6">
              <w:rPr>
                <w:color w:val="000000"/>
                <w:sz w:val="14"/>
                <w:szCs w:val="14"/>
                <w:lang w:val="it-IT"/>
              </w:rPr>
              <w:t xml:space="preserve">         </w:t>
            </w:r>
            <w:r w:rsidRPr="005538F6">
              <w:rPr>
                <w:rFonts w:ascii="Tahoma" w:hAnsi="Tahoma" w:cs="Tahoma"/>
                <w:color w:val="000000"/>
                <w:sz w:val="22"/>
                <w:szCs w:val="22"/>
                <w:lang w:val="it-IT"/>
              </w:rPr>
              <w:t>Note</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 xml:space="preserve">Per ciascuno stato di previsione di cui sopra, l’amministratore di sistema deve poter associare da 1 a n Amministrazioni scegliendole tra quelle gestite a sistema, (come configurato in </w:t>
            </w:r>
            <w:r w:rsidRPr="005538F6">
              <w:rPr>
                <w:rFonts w:ascii="Tahoma" w:hAnsi="Tahoma" w:cs="Tahoma"/>
                <w:i/>
                <w:iCs/>
                <w:color w:val="000000"/>
                <w:sz w:val="22"/>
                <w:szCs w:val="22"/>
                <w:lang w:val="it-IT"/>
              </w:rPr>
              <w:t>“TCLD_EGS0_FDA00 – Definizione amministrazione”</w:t>
            </w:r>
            <w:r w:rsidRPr="005538F6">
              <w:rPr>
                <w:rFonts w:ascii="Tahoma" w:hAnsi="Tahoma" w:cs="Tahoma"/>
                <w:color w:val="000000"/>
                <w:sz w:val="22"/>
                <w:szCs w:val="22"/>
                <w:lang w:val="it-IT"/>
              </w:rPr>
              <w:t>).</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t>Inoltre, come concordato con RGS, all'interno del flusso del Bilancio dello Stato è previsto una Stato di previsione fittizio che contiene in appendice le amministrazioni che si avvalgono del pagamento telematico in Banca d'Italia (ad esempio, Presidenza del Consiglio, Corte dei Conti, CNEL ecc.). </w:t>
            </w:r>
          </w:p>
          <w:p w:rsidR="005538F6" w:rsidRPr="005538F6" w:rsidRDefault="005538F6" w:rsidP="005538F6">
            <w:pPr>
              <w:pStyle w:val="NormaleWeb"/>
              <w:spacing w:before="60" w:beforeAutospacing="0" w:after="60" w:afterAutospacing="0"/>
              <w:jc w:val="both"/>
              <w:rPr>
                <w:lang w:val="it-IT"/>
              </w:rPr>
            </w:pPr>
            <w:r w:rsidRPr="005538F6">
              <w:rPr>
                <w:rFonts w:ascii="Tahoma" w:hAnsi="Tahoma" w:cs="Tahoma"/>
                <w:color w:val="000000"/>
                <w:sz w:val="22"/>
                <w:szCs w:val="22"/>
                <w:lang w:val="it-IT"/>
              </w:rPr>
              <w:lastRenderedPageBreak/>
              <w:t>Il sistema deve mantenere la storicità delle variazioni eventualmente apportate e darne evidenza all’utente sia che si tratti di variazioni puntuali che variazioni da flusso.  Per questa tipologia di informazioni non è necessario gestire l'auditing dei campi.</w:t>
            </w:r>
          </w:p>
          <w:p w:rsidR="005538F6" w:rsidRPr="005538F6" w:rsidRDefault="005538F6" w:rsidP="005538F6">
            <w:pPr>
              <w:pStyle w:val="NormaleWeb"/>
              <w:rPr>
                <w:lang w:val="it-IT"/>
              </w:rPr>
            </w:pPr>
            <w:r w:rsidRPr="005538F6">
              <w:rPr>
                <w:rFonts w:ascii="Tahoma" w:hAnsi="Tahoma" w:cs="Tahoma"/>
                <w:color w:val="000000"/>
                <w:sz w:val="22"/>
                <w:szCs w:val="22"/>
                <w:lang w:val="it-IT"/>
              </w:rPr>
              <w:t>Il sistema non deve permettere l’eliminazione di uno stato di previsione se già in uso dal sistema.</w:t>
            </w:r>
          </w:p>
          <w:p w:rsidR="005538F6" w:rsidRDefault="005538F6" w:rsidP="005538F6">
            <w:pPr>
              <w:pStyle w:val="NormaleWeb"/>
            </w:pPr>
            <w:r>
              <w:rPr>
                <w:rFonts w:ascii="Tahoma" w:hAnsi="Tahoma" w:cs="Tahoma"/>
                <w:noProof/>
                <w:color w:val="000000"/>
                <w:sz w:val="16"/>
                <w:szCs w:val="16"/>
              </w:rPr>
              <w:drawing>
                <wp:inline distT="0" distB="0" distL="0" distR="0">
                  <wp:extent cx="12592050" cy="5800725"/>
                  <wp:effectExtent l="0" t="0" r="0" b="9525"/>
                  <wp:docPr id="1" name="Immagine 1" descr="http://tfsprod.mef.gov.it/tfs/Cloudify-NoiPA/WorkItemTracking/v1.0/AttachFileHandler.ashx?FileNameGuid=d37f39b1-9bad-4ff3-b165-6719453d6eda&amp;FileName=1.%20Configurazione%20stati%20di%20previs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fsprod.mef.gov.it/tfs/Cloudify-NoiPA/WorkItemTracking/v1.0/AttachFileHandler.ashx?FileNameGuid=d37f39b1-9bad-4ff3-b165-6719453d6eda&amp;FileName=1.%20Configurazione%20stati%20di%20prevision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92050" cy="5800725"/>
                          </a:xfrm>
                          <a:prstGeom prst="rect">
                            <a:avLst/>
                          </a:prstGeom>
                          <a:noFill/>
                          <a:ln>
                            <a:noFill/>
                          </a:ln>
                        </pic:spPr>
                      </pic:pic>
                    </a:graphicData>
                  </a:graphic>
                </wp:inline>
              </w:drawing>
            </w:r>
          </w:p>
          <w:p w:rsidR="005538F6" w:rsidRDefault="005538F6" w:rsidP="005538F6">
            <w:pPr>
              <w:pStyle w:val="NormaleWeb"/>
            </w:pPr>
            <w:r>
              <w:br/>
              <w:t>                                                                                                                                            </w:t>
            </w:r>
          </w:p>
          <w:permEnd w:id="136528853"/>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33978; 33979; 33980; 33981; 51646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157651687" w:edGrp="everyone"/>
      <w:permEnd w:id="1157651687"/>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1" w:name="w2t2108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239634370" w:edGrp="everyone"/>
            <w:r>
              <w:rPr>
                <w:rFonts w:ascii="Calibri" w:hAnsi="Calibri" w:cs="Calibri"/>
                <w:szCs w:val="26"/>
              </w:rPr>
              <w:t>TCLD_ECNF_FCCR0</w:t>
            </w:r>
            <w:permEnd w:id="123963437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8" w:history="1">
              <w:r w:rsidRPr="005538F6">
                <w:rPr>
                  <w:rStyle w:val="Collegamentoipertestuale"/>
                  <w:rFonts w:ascii="Calibri" w:hAnsi="Calibri" w:cs="Calibri"/>
                  <w:szCs w:val="20"/>
                </w:rPr>
                <w:t>21085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9" w:history="1">
              <w:r w:rsidRPr="005538F6">
                <w:rPr>
                  <w:rStyle w:val="Collegamentoipertestuale"/>
                  <w:rFonts w:ascii="Calibri" w:hAnsi="Calibri" w:cs="Calibri"/>
                  <w:szCs w:val="20"/>
                </w:rPr>
                <w:t>121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104</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1"/>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21085 - Configurazione centri di responsabilità</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55414179" w:edGrp="everyone" w:displacedByCustomXml="next"/>
        <w:sdt>
          <w:sdtPr>
            <w:rPr>
              <w:rFonts w:ascii="Calibri" w:hAnsi="Calibri" w:cs="Calibri"/>
              <w:color w:val="000000" w:themeColor="text1"/>
              <w:szCs w:val="20"/>
            </w:rPr>
            <w:id w:val="-1276549293"/>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05541417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83173840" w:edGrp="everyone"/>
            <w:r>
              <w:rPr>
                <w:rFonts w:ascii="Calibri" w:hAnsi="Calibri" w:cs="Calibri"/>
                <w:b/>
                <w:sz w:val="26"/>
                <w:szCs w:val="26"/>
              </w:rPr>
              <w:t>Configurazione centri di responsabilità</w:t>
            </w:r>
            <w:permEnd w:id="183173840"/>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1960181865" w:edGrp="everyone"/>
            <w:r>
              <w:rPr>
                <w:rFonts w:ascii="Tahoma" w:hAnsi="Tahoma" w:cs="Tahoma"/>
                <w:b/>
                <w:bCs/>
                <w:color w:val="000000"/>
                <w:sz w:val="22"/>
                <w:szCs w:val="22"/>
              </w:rPr>
              <w:t>Contesto di riferimento</w:t>
            </w:r>
          </w:p>
          <w:p w:rsidR="005538F6" w:rsidRDefault="005538F6" w:rsidP="005538F6">
            <w:pPr>
              <w:pStyle w:val="NormaleWeb"/>
              <w:spacing w:before="60" w:beforeAutospacing="0" w:after="60" w:afterAutospacing="0"/>
              <w:jc w:val="both"/>
            </w:pPr>
            <w:r>
              <w:rPr>
                <w:rFonts w:ascii="Tahoma" w:hAnsi="Tahoma" w:cs="Tahoma"/>
                <w:b/>
                <w:bCs/>
                <w:color w:val="000000"/>
                <w:sz w:val="22"/>
                <w:szCs w:val="22"/>
              </w:rPr>
              <w:t>Bilancio dello Stato</w:t>
            </w:r>
          </w:p>
          <w:p w:rsidR="005538F6" w:rsidRDefault="005538F6" w:rsidP="005538F6">
            <w:pPr>
              <w:pStyle w:val="NormaleWeb"/>
              <w:spacing w:before="0" w:beforeAutospacing="0" w:after="120" w:afterAutospacing="0"/>
              <w:jc w:val="both"/>
            </w:pPr>
            <w:r>
              <w:rPr>
                <w:rFonts w:ascii="Tahoma" w:hAnsi="Tahoma" w:cs="Tahoma"/>
                <w:color w:val="000000"/>
                <w:sz w:val="22"/>
                <w:szCs w:val="22"/>
              </w:rPr>
              <w:t>Nell’ambito del Bilancio dello stato i centri di responsabilità assumono una doppia valenza:</w:t>
            </w:r>
          </w:p>
          <w:p w:rsidR="005538F6" w:rsidRDefault="005538F6" w:rsidP="005538F6">
            <w:pPr>
              <w:pStyle w:val="NormaleWeb"/>
              <w:spacing w:before="0" w:beforeAutospacing="0" w:after="12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Costituiscono elementi di riferimento della contabilità finanziaria e corrispondono, secondo l’articolo 21, comma 2, della legge n. 196/2009, alle unità organizzative di primo livello dei Ministeri (Dipartimenti o Direzioni Generali), oltre ai Gabinetti e agli uffici di diretta collaborazione ai Ministri, così come definite dall'articolo 3 del D.lgs. n. 300 del 1999 e successive modificazioni e integrazioni. I titolari dei singoli centri di responsabilità amministrativa assumono un ruolo chiave nelle previsioni economiche, in quanto, ai sensi dell’articolo 23 della legge di contabilità, ai responsabili della gestione dei programmi è assegnato il compito di elaborare le proposte in merito agli obiettivi prefissati e di quantificare le risorse necessarie per il loro raggiungimento.</w:t>
            </w:r>
          </w:p>
          <w:p w:rsidR="005538F6" w:rsidRDefault="005538F6" w:rsidP="005538F6">
            <w:pPr>
              <w:pStyle w:val="NormaleWeb"/>
              <w:spacing w:before="0"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Rilevano anche ai fini della contabilità economica-analitica dello stato, in particolare per quanto concerne l’aspetto della responsabilità organizzativa e il controllo di gestione.  La contabilità economica analitica dello Stato opera a livello di Centri di costo, che sono costituiti, secondo l’articolo 10, comma 4, del D.lgs. n. 279 del 1997, in coerenza con i Centri di responsabilità amministrativa e ne seguono l’evoluzione, anche in relazione ai provvedimenti di riorganizzazione. In sede di formulazione del budget economico, i titolari dei centri di responsabilità amministrativa coordinano le previsioni economiche, in termini di fabbisogni di risorse umane e strumentali, dei centri di costo sottostanti e costruiscono, in coerenza con queste, le previsioni finanziarie dei programmi di competenza, nell’ambito dei vincoli posti dalla manovra di finanza pubblica avvalendosi, anche, dei trend dei costi sostenuti nei periodi precedenti.</w:t>
            </w:r>
          </w:p>
          <w:p w:rsidR="005538F6" w:rsidRDefault="005538F6" w:rsidP="005538F6">
            <w:pPr>
              <w:pStyle w:val="NormaleWeb"/>
              <w:spacing w:before="0" w:beforeAutospacing="0" w:after="160" w:afterAutospacing="0"/>
              <w:ind w:left="720"/>
              <w:jc w:val="both"/>
            </w:pPr>
            <w:r>
              <w:rPr>
                <w:rFonts w:ascii="Tahoma" w:hAnsi="Tahoma" w:cs="Tahoma"/>
                <w:b/>
                <w:bCs/>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b/>
                <w:bCs/>
                <w:color w:val="000000"/>
                <w:sz w:val="22"/>
                <w:szCs w:val="22"/>
              </w:rPr>
              <w:t>Enti Locali, sanità, altre amministrazioni</w:t>
            </w:r>
          </w:p>
          <w:p w:rsidR="005538F6" w:rsidRDefault="005538F6" w:rsidP="005538F6">
            <w:pPr>
              <w:pStyle w:val="NormaleWeb"/>
              <w:spacing w:before="0" w:beforeAutospacing="0" w:after="160" w:afterAutospacing="0"/>
              <w:jc w:val="both"/>
            </w:pPr>
            <w:r>
              <w:rPr>
                <w:rFonts w:ascii="Tahoma" w:hAnsi="Tahoma" w:cs="Tahoma"/>
                <w:color w:val="000000"/>
                <w:sz w:val="22"/>
                <w:szCs w:val="22"/>
              </w:rPr>
              <w:t xml:space="preserve">Per gli enti locali, per le ASL e per le altre amministrazioni (fuori bilancio) i centri di responsabilità assumono una valenza principalmente legata alla contabilità analitica e al controllo di gestione. Solitamente i centri di </w:t>
            </w:r>
            <w:r>
              <w:rPr>
                <w:rFonts w:ascii="Tahoma" w:hAnsi="Tahoma" w:cs="Tahoma"/>
                <w:color w:val="000000"/>
                <w:sz w:val="22"/>
                <w:szCs w:val="22"/>
              </w:rPr>
              <w:lastRenderedPageBreak/>
              <w:t>responsabilità sono identificati in un’unità organizzativa con un responsabile che governa le risorse assegnate e risponde del raggiungimento di un obiettivo predefinito.</w:t>
            </w:r>
          </w:p>
          <w:p w:rsidR="005538F6" w:rsidRDefault="005538F6" w:rsidP="005538F6">
            <w:pPr>
              <w:pStyle w:val="NormaleWeb"/>
              <w:spacing w:before="0" w:beforeAutospacing="0" w:after="63" w:afterAutospacing="0"/>
              <w:jc w:val="both"/>
            </w:pPr>
            <w:r>
              <w:rPr>
                <w:rFonts w:ascii="Tahoma" w:hAnsi="Tahoma" w:cs="Tahoma"/>
                <w:color w:val="000000"/>
                <w:sz w:val="22"/>
                <w:szCs w:val="22"/>
              </w:rPr>
              <w:t> </w:t>
            </w:r>
          </w:p>
          <w:p w:rsidR="005538F6" w:rsidRDefault="005538F6" w:rsidP="005538F6">
            <w:pPr>
              <w:pStyle w:val="NormaleWeb"/>
              <w:spacing w:before="0" w:beforeAutospacing="0" w:after="160" w:afterAutospacing="0"/>
              <w:jc w:val="both"/>
            </w:pPr>
            <w:r>
              <w:rPr>
                <w:rFonts w:ascii="Tahoma" w:hAnsi="Tahoma" w:cs="Tahoma"/>
                <w:color w:val="000000"/>
                <w:sz w:val="22"/>
                <w:szCs w:val="22"/>
              </w:rPr>
              <w:t>*****************************</w:t>
            </w:r>
          </w:p>
          <w:p w:rsidR="005538F6" w:rsidRDefault="005538F6" w:rsidP="005538F6">
            <w:pPr>
              <w:pStyle w:val="NormaleWeb"/>
              <w:spacing w:before="240" w:beforeAutospacing="0" w:after="240" w:afterAutospacing="0"/>
              <w:jc w:val="both"/>
            </w:pPr>
            <w:r>
              <w:rPr>
                <w:rFonts w:ascii="Tahoma" w:hAnsi="Tahoma" w:cs="Tahoma"/>
                <w:color w:val="000000"/>
                <w:sz w:val="22"/>
                <w:szCs w:val="22"/>
              </w:rPr>
              <w:t> </w:t>
            </w:r>
          </w:p>
          <w:p w:rsidR="005538F6" w:rsidRDefault="005538F6" w:rsidP="005538F6">
            <w:pPr>
              <w:pStyle w:val="NormaleWeb"/>
              <w:spacing w:before="0" w:beforeAutospacing="0" w:after="60" w:afterAutospacing="0"/>
              <w:jc w:val="both"/>
            </w:pPr>
            <w:r>
              <w:rPr>
                <w:rFonts w:ascii="Tahoma" w:hAnsi="Tahoma" w:cs="Tahoma"/>
                <w:color w:val="000000"/>
                <w:sz w:val="22"/>
                <w:szCs w:val="22"/>
              </w:rPr>
              <w:t>L’amministratore di sistema (per gli stati di previsione del bilancio dello Stato) e gli operatori autorizzati (per le amministrazioni fuori bilancio) devono poter inserire, variare o eliminare i centri di responsabilità all’interno del sistema.</w:t>
            </w:r>
          </w:p>
          <w:p w:rsidR="005538F6" w:rsidRDefault="005538F6" w:rsidP="005538F6">
            <w:pPr>
              <w:pStyle w:val="NormaleWeb"/>
              <w:spacing w:before="0" w:beforeAutospacing="0" w:after="60" w:afterAutospacing="0"/>
              <w:jc w:val="both"/>
            </w:pPr>
            <w:r>
              <w:rPr>
                <w:rFonts w:ascii="Tahoma" w:hAnsi="Tahoma" w:cs="Tahoma"/>
                <w:color w:val="000000"/>
                <w:sz w:val="22"/>
                <w:szCs w:val="22"/>
              </w:rPr>
              <w:t>Per le Amministrazioni fuori bilancio, il centro di responsabilità potrebbe non essere gestito, in quanto utilizzato esclusivamente il centro di costo.</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L’amministratore di sistema e gli operatori autorizzati (per gli stati di previsione del bilancio dello Stato) devono poter acquisire le informazioni necessarie per la configurazione dei centri di responsabilità anche da fonti esterne (ad es. protocollo di colloquio integrato con sistemi terzi) e/o massivamente. Il sistema, nel caso di acquisizione da fonte esterna, deve dare evidenza delle eventuali variazioni rispetto a quanto già presente nel sistema. </w:t>
            </w:r>
          </w:p>
          <w:p w:rsidR="005538F6" w:rsidRDefault="005538F6" w:rsidP="005538F6">
            <w:pPr>
              <w:pStyle w:val="NormaleWeb"/>
              <w:spacing w:before="60" w:beforeAutospacing="0" w:after="60" w:afterAutospacing="0"/>
              <w:jc w:val="both"/>
            </w:pPr>
            <w:r>
              <w:rPr>
                <w:rFonts w:ascii="Tahoma" w:hAnsi="Tahoma" w:cs="Tahoma"/>
                <w:color w:val="000000"/>
                <w:sz w:val="22"/>
                <w:szCs w:val="22"/>
              </w:rPr>
              <w:t>Il sistema deve mantenere la storicità delle variazioni eventualmente apportate e darne evidenza all’utente sia che si tratti di variazioni puntuali che variazioni da flusso.  Per questa tipologia di informazioni non è necessario gestire l'auditing dei campi.</w:t>
            </w:r>
          </w:p>
          <w:p w:rsidR="005538F6" w:rsidRDefault="005538F6" w:rsidP="005538F6">
            <w:pPr>
              <w:pStyle w:val="NormaleWeb"/>
              <w:spacing w:before="60" w:beforeAutospacing="0" w:after="60" w:afterAutospacing="0"/>
              <w:jc w:val="both"/>
            </w:pPr>
            <w:r>
              <w:rPr>
                <w:rFonts w:ascii="Tahoma" w:hAnsi="Tahoma" w:cs="Tahoma"/>
                <w:color w:val="000000"/>
                <w:sz w:val="22"/>
                <w:szCs w:val="22"/>
              </w:rPr>
              <w:t>I dati minimali per la configurazione di un centro di responsabilità per le amministrazioni in bilancio sono: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centro di responsabilità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Descrizione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Stato di previsione (vedi feature “</w:t>
            </w:r>
            <w:r>
              <w:rPr>
                <w:rFonts w:ascii="Tahoma" w:hAnsi="Tahoma" w:cs="Tahoma"/>
                <w:i/>
                <w:iCs/>
                <w:color w:val="000000"/>
                <w:sz w:val="22"/>
                <w:szCs w:val="22"/>
              </w:rPr>
              <w:t>TCLD_EG15_FCSP0 – Configurazione stati di previsione“</w:t>
            </w:r>
            <w:r>
              <w:rPr>
                <w:rFonts w:ascii="Tahoma" w:hAnsi="Tahoma" w:cs="Tahoma"/>
                <w:color w:val="000000"/>
                <w:sz w:val="22"/>
                <w:szCs w:val="22"/>
              </w:rPr>
              <w:t>)</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 (opzionale, campi al momento non forniti da flusso RGS)</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 (opzionale, campi al momento non forniti da flusso RGS)</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0" w:beforeAutospacing="0" w:after="60" w:afterAutospacing="0"/>
              <w:jc w:val="both"/>
            </w:pPr>
            <w:r>
              <w:rPr>
                <w:rFonts w:ascii="Tahoma" w:hAnsi="Tahoma" w:cs="Tahoma"/>
                <w:color w:val="000000"/>
                <w:sz w:val="22"/>
                <w:szCs w:val="22"/>
              </w:rPr>
              <w:t>I dati minimali per la configurazione di un centro di responsabilità per le amministrazioni fuori bilancio sono: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centro di responsabilità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Descrizione </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Amministrazione (vedi feature “</w:t>
            </w:r>
            <w:r>
              <w:rPr>
                <w:rFonts w:ascii="Tahoma" w:hAnsi="Tahoma" w:cs="Tahoma"/>
                <w:i/>
                <w:iCs/>
                <w:color w:val="000000"/>
                <w:sz w:val="22"/>
                <w:szCs w:val="22"/>
              </w:rPr>
              <w:t>TCLD_EGS0_FDA00 – Definizione amministrazione</w:t>
            </w:r>
            <w:r>
              <w:rPr>
                <w:rFonts w:ascii="Tahoma" w:hAnsi="Tahoma" w:cs="Tahoma"/>
                <w:color w:val="000000"/>
                <w:sz w:val="22"/>
                <w:szCs w:val="22"/>
              </w:rPr>
              <w:t>”)</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0" w:beforeAutospacing="0" w:after="60" w:afterAutospacing="0"/>
              <w:ind w:left="720" w:hanging="360"/>
              <w:jc w:val="both"/>
            </w:pPr>
          </w:p>
          <w:p w:rsidR="005538F6" w:rsidRDefault="005538F6" w:rsidP="005538F6">
            <w:pPr>
              <w:pStyle w:val="NormaleWeb"/>
              <w:spacing w:before="60" w:beforeAutospacing="0" w:after="60" w:afterAutospacing="0"/>
              <w:ind w:left="720" w:hanging="360"/>
              <w:jc w:val="both"/>
            </w:pPr>
            <w:r>
              <w:rPr>
                <w:rFonts w:ascii="Tahoma" w:hAnsi="Tahoma" w:cs="Tahoma"/>
                <w:color w:val="000000"/>
                <w:sz w:val="22"/>
                <w:szCs w:val="22"/>
              </w:rPr>
              <w:t>Deve essere possibile indicare i dati  del responsabile del CDR</w:t>
            </w:r>
          </w:p>
          <w:p w:rsidR="005538F6" w:rsidRDefault="005538F6" w:rsidP="005538F6">
            <w:pPr>
              <w:pStyle w:val="NormaleWeb"/>
              <w:spacing w:before="60" w:beforeAutospacing="0" w:after="60" w:afterAutospacing="0"/>
              <w:jc w:val="both"/>
            </w:pPr>
          </w:p>
          <w:p w:rsidR="005538F6" w:rsidRDefault="005538F6" w:rsidP="005538F6"/>
          <w:p w:rsidR="005538F6" w:rsidRDefault="005538F6" w:rsidP="005538F6">
            <w:pPr>
              <w:pStyle w:val="NormaleWeb"/>
            </w:pPr>
            <w:r>
              <w:rPr>
                <w:rFonts w:ascii="Tahoma" w:hAnsi="Tahoma" w:cs="Tahoma"/>
                <w:noProof/>
                <w:color w:val="000000"/>
                <w:sz w:val="16"/>
                <w:szCs w:val="16"/>
              </w:rPr>
              <w:lastRenderedPageBreak/>
              <w:drawing>
                <wp:inline distT="0" distB="0" distL="0" distR="0">
                  <wp:extent cx="12592050" cy="5867400"/>
                  <wp:effectExtent l="0" t="0" r="0" b="0"/>
                  <wp:docPr id="2" name="Immagine 2" descr="http://tfsprod.mef.gov.it/tfs/Cloudify-NoiPA/WorkItemTracking/v1.0/AttachFileHandler.ashx?FileNameGuid=cba419b1-12f3-41a4-8857-f7db063a9fef&amp;FileName=2.%20Configurazione%20centri%20di%20responsabilit%C3%A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fsprod.mef.gov.it/tfs/Cloudify-NoiPA/WorkItemTracking/v1.0/AttachFileHandler.ashx?FileNameGuid=cba419b1-12f3-41a4-8857-f7db063a9fef&amp;FileName=2.%20Configurazione%20centri%20di%20responsabilit%C3%A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92050" cy="5867400"/>
                          </a:xfrm>
                          <a:prstGeom prst="rect">
                            <a:avLst/>
                          </a:prstGeom>
                          <a:noFill/>
                          <a:ln>
                            <a:noFill/>
                          </a:ln>
                        </pic:spPr>
                      </pic:pic>
                    </a:graphicData>
                  </a:graphic>
                </wp:inline>
              </w:drawing>
            </w:r>
          </w:p>
          <w:p w:rsidR="005538F6" w:rsidRDefault="005538F6" w:rsidP="005538F6">
            <w:pPr>
              <w:pStyle w:val="NormaleWeb"/>
            </w:pPr>
            <w:r>
              <w:br/>
              <w:t>                                                                                                                                            </w:t>
            </w:r>
          </w:p>
          <w:permEnd w:id="1960181865"/>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33580; 33584; 33585; 33586; 51662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587072065" w:edGrp="everyone"/>
      <w:permEnd w:id="587072065"/>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2" w:name="w2t2108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924023393" w:edGrp="everyone"/>
            <w:r>
              <w:rPr>
                <w:rFonts w:ascii="Calibri" w:hAnsi="Calibri" w:cs="Calibri"/>
                <w:szCs w:val="26"/>
              </w:rPr>
              <w:t>TCLD_ECNF_FCCC0</w:t>
            </w:r>
            <w:permEnd w:id="92402339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11" w:history="1">
              <w:r w:rsidRPr="005538F6">
                <w:rPr>
                  <w:rStyle w:val="Collegamentoipertestuale"/>
                  <w:rFonts w:ascii="Calibri" w:hAnsi="Calibri" w:cs="Calibri"/>
                  <w:szCs w:val="20"/>
                </w:rPr>
                <w:t>21086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12" w:history="1">
              <w:r w:rsidRPr="005538F6">
                <w:rPr>
                  <w:rStyle w:val="Collegamentoipertestuale"/>
                  <w:rFonts w:ascii="Calibri" w:hAnsi="Calibri" w:cs="Calibri"/>
                  <w:szCs w:val="20"/>
                </w:rPr>
                <w:t>117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100</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2"/>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21086 - Configurazione centri di costo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44402578" w:edGrp="everyone" w:displacedByCustomXml="next"/>
        <w:sdt>
          <w:sdtPr>
            <w:rPr>
              <w:rFonts w:ascii="Calibri" w:hAnsi="Calibri" w:cs="Calibri"/>
              <w:color w:val="000000" w:themeColor="text1"/>
              <w:szCs w:val="20"/>
            </w:rPr>
            <w:id w:val="-158020177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4440257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575575009" w:edGrp="everyone"/>
            <w:r>
              <w:rPr>
                <w:rFonts w:ascii="Calibri" w:hAnsi="Calibri" w:cs="Calibri"/>
                <w:b/>
                <w:sz w:val="26"/>
                <w:szCs w:val="26"/>
              </w:rPr>
              <w:t>Configurazione centri di costo</w:t>
            </w:r>
            <w:permEnd w:id="1575575009"/>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712272813" w:edGrp="everyone"/>
            <w:r>
              <w:rPr>
                <w:rFonts w:ascii="Tahoma" w:hAnsi="Tahoma" w:cs="Tahoma"/>
                <w:b/>
                <w:bCs/>
                <w:color w:val="000000"/>
                <w:sz w:val="22"/>
                <w:szCs w:val="22"/>
              </w:rPr>
              <w:t>Contesto di Riferimento</w:t>
            </w:r>
          </w:p>
          <w:p w:rsidR="005538F6" w:rsidRDefault="005538F6" w:rsidP="005538F6">
            <w:pPr>
              <w:pStyle w:val="NormaleWeb"/>
              <w:spacing w:before="60" w:beforeAutospacing="0" w:after="60" w:afterAutospacing="0"/>
              <w:jc w:val="both"/>
            </w:pPr>
            <w:r>
              <w:rPr>
                <w:rFonts w:ascii="Tahoma" w:hAnsi="Tahoma" w:cs="Tahoma"/>
                <w:b/>
                <w:bCs/>
                <w:color w:val="000000"/>
                <w:sz w:val="22"/>
                <w:szCs w:val="22"/>
              </w:rPr>
              <w:t>Bilancio dello Stato</w:t>
            </w:r>
          </w:p>
          <w:p w:rsidR="005538F6" w:rsidRDefault="005538F6" w:rsidP="005538F6">
            <w:pPr>
              <w:pStyle w:val="NormaleWeb"/>
              <w:spacing w:before="0" w:beforeAutospacing="0" w:after="160" w:afterAutospacing="0"/>
              <w:jc w:val="both"/>
            </w:pPr>
            <w:r>
              <w:rPr>
                <w:rFonts w:ascii="Tahoma" w:hAnsi="Tahoma" w:cs="Tahoma"/>
                <w:color w:val="000000"/>
                <w:sz w:val="22"/>
                <w:szCs w:val="22"/>
              </w:rPr>
              <w:t>Per le amministrazioni del Bilancio dello Stato, i criteri per la definizione dei centri di costo distinguono fra strutture periferiche e strutture centrali delle amministrazioni e, nell’ambito di queste ultime, fra ministeri a base dipartimentale e ministeri a base direzionale:</w:t>
            </w:r>
          </w:p>
          <w:p w:rsidR="005538F6" w:rsidRDefault="005538F6" w:rsidP="005538F6">
            <w:pPr>
              <w:pStyle w:val="NormaleWeb"/>
              <w:spacing w:before="0" w:beforeAutospacing="0" w:after="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Per le strutture centrali, i centri di costo corrispondono agli uffici dirigenziali di livello generale i quali, nei ministeri organizzati per dipartimenti, corrispondono alle direzioni generali nell’ambito di ciascun dipartimento, mentre nei ministeri organizzati su base direzionale coincidono con le stesse direzioni.</w:t>
            </w:r>
          </w:p>
          <w:p w:rsidR="005538F6" w:rsidRDefault="005538F6" w:rsidP="005538F6">
            <w:pPr>
              <w:pStyle w:val="NormaleWeb"/>
              <w:spacing w:before="0"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Per gli uffici periferici dei ministeri, l’individuazione dei centri di costo dipende dalla articolazione, dai compiti e dalle responsabilità assegnati agli stessi uffici dal quadro normativo e regolamentare vigente(esempio di centri di costo periferici: Direzioni Regionali, Comandi regionali, interregionali e provinciali di corpi di polizia e forze armate; Uffici scolastici regionali; Ragionerie Territoriali dello Stato; Questure; Prefetture; Sedi diplomatiche italiane presso Stati esteri e organismi internazionali, etc.).</w:t>
            </w:r>
          </w:p>
          <w:p w:rsidR="005538F6" w:rsidRDefault="005538F6" w:rsidP="005538F6">
            <w:pPr>
              <w:pStyle w:val="NormaleWeb"/>
              <w:spacing w:before="0" w:beforeAutospacing="0" w:after="160" w:afterAutospacing="0"/>
              <w:ind w:left="720"/>
              <w:jc w:val="both"/>
            </w:pPr>
            <w:r>
              <w:rPr>
                <w:rFonts w:ascii="Tahoma" w:hAnsi="Tahoma" w:cs="Tahoma"/>
                <w:b/>
                <w:bCs/>
                <w:color w:val="000000"/>
                <w:sz w:val="22"/>
                <w:szCs w:val="22"/>
              </w:rPr>
              <w:t> </w:t>
            </w:r>
          </w:p>
          <w:p w:rsidR="005538F6" w:rsidRDefault="005538F6" w:rsidP="005538F6">
            <w:pPr>
              <w:pStyle w:val="NormaleWeb"/>
              <w:spacing w:before="0" w:beforeAutospacing="0" w:after="120" w:afterAutospacing="0"/>
              <w:jc w:val="both"/>
            </w:pPr>
            <w:r>
              <w:rPr>
                <w:rFonts w:ascii="Tahoma" w:hAnsi="Tahoma" w:cs="Tahoma"/>
                <w:b/>
                <w:bCs/>
                <w:color w:val="000000"/>
                <w:sz w:val="22"/>
                <w:szCs w:val="22"/>
              </w:rPr>
              <w:t>Regioni, Enti Locali, sanità, altre amministrazioni (fuori bilancio)</w:t>
            </w:r>
          </w:p>
          <w:p w:rsidR="005538F6" w:rsidRDefault="005538F6" w:rsidP="005538F6">
            <w:pPr>
              <w:pStyle w:val="NormaleWeb"/>
              <w:spacing w:before="0" w:beforeAutospacing="0" w:after="160" w:afterAutospacing="0"/>
              <w:jc w:val="both"/>
            </w:pPr>
            <w:r>
              <w:rPr>
                <w:rFonts w:ascii="Tahoma" w:hAnsi="Tahoma" w:cs="Tahoma"/>
                <w:color w:val="000000"/>
                <w:sz w:val="22"/>
                <w:szCs w:val="22"/>
              </w:rPr>
              <w:t>Con il termine “centro di costo” si intende l’unità elementare, ovvero l’unità organizzativa che svolge una specifica attività sotto il controllo e la responsabilità di un dirigente e alla quale è possibile attribuire, in modo completo ed esclusivo, i costi dei fattori produttivi impiegati. Nelle aziende sanitarie, ad esempio, un centro di costo si può identificare con il reparto, il day hospital, la sala operatoria ecc. A livello organizzativo i centri di costo possono coincidere con i centri di responsabilità, ma a volte, le unità organizzative possono essere caratterizzate da una complessità funzionale tale da costituire, dal punto di vista contabile, un’unità troppo ampia per assicurare un corretta rilevazione e attribuzione dei costi. In tal caso, all’interno di tali centri di responsabilità, è necessario individuare più centri di costo.</w:t>
            </w:r>
            <w:r>
              <w:rPr>
                <w:rFonts w:ascii="Georgia" w:hAnsi="Georgia"/>
                <w:color w:val="000000"/>
                <w:sz w:val="22"/>
                <w:szCs w:val="22"/>
              </w:rPr>
              <w:t xml:space="preserve"> </w:t>
            </w:r>
            <w:r>
              <w:rPr>
                <w:rFonts w:ascii="Tahoma" w:hAnsi="Tahoma" w:cs="Tahoma"/>
                <w:color w:val="000000"/>
                <w:sz w:val="22"/>
                <w:szCs w:val="22"/>
              </w:rPr>
              <w:t xml:space="preserve">Ad esempio, se in un centro di responsabilità si utilizzano fattori produttivi sostanzialmente diversi oppure si svolgono più tipi di attività, è opportuno </w:t>
            </w:r>
            <w:r>
              <w:rPr>
                <w:rFonts w:ascii="Tahoma" w:hAnsi="Tahoma" w:cs="Tahoma"/>
                <w:color w:val="000000"/>
                <w:sz w:val="22"/>
                <w:szCs w:val="22"/>
              </w:rPr>
              <w:lastRenderedPageBreak/>
              <w:t>suddividere il centro di responsabilità in più centri di costo, ognuno dei quali deve identificare un nucleo di attività omogenee.</w:t>
            </w:r>
          </w:p>
          <w:p w:rsidR="005538F6" w:rsidRDefault="005538F6" w:rsidP="005538F6">
            <w:pPr>
              <w:pStyle w:val="NormaleWeb"/>
              <w:spacing w:before="0" w:beforeAutospacing="0" w:after="63" w:afterAutospacing="0"/>
              <w:jc w:val="both"/>
            </w:pPr>
            <w:r>
              <w:rPr>
                <w:rFonts w:ascii="Tahoma" w:hAnsi="Tahoma" w:cs="Tahoma"/>
                <w:color w:val="000000"/>
                <w:sz w:val="22"/>
                <w:szCs w:val="22"/>
              </w:rPr>
              <w:t> </w:t>
            </w:r>
          </w:p>
          <w:p w:rsidR="005538F6" w:rsidRDefault="005538F6" w:rsidP="005538F6">
            <w:pPr>
              <w:pStyle w:val="NormaleWeb"/>
              <w:spacing w:before="0" w:beforeAutospacing="0" w:after="160" w:afterAutospacing="0"/>
              <w:jc w:val="both"/>
            </w:pPr>
            <w:r>
              <w:rPr>
                <w:rFonts w:ascii="Tahoma" w:hAnsi="Tahoma" w:cs="Tahoma"/>
                <w:color w:val="000000"/>
                <w:sz w:val="22"/>
                <w:szCs w:val="22"/>
              </w:rPr>
              <w:t>*****************************</w:t>
            </w:r>
          </w:p>
          <w:p w:rsidR="005538F6" w:rsidRDefault="005538F6" w:rsidP="005538F6">
            <w:pPr>
              <w:pStyle w:val="NormaleWeb"/>
              <w:spacing w:before="0" w:beforeAutospacing="0" w:after="160" w:afterAutospacing="0"/>
              <w:jc w:val="both"/>
            </w:pPr>
            <w:r>
              <w:rPr>
                <w:rFonts w:ascii="Tahoma" w:hAnsi="Tahoma" w:cs="Tahoma"/>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L’amministratore di sistema e gli operatori autorizzati (questi ultimi solamente per le amministrazioni fuori bilancio) devono poter inserire, variare o eliminare i centri di costo, nell’ambito dei centri di responsabilità, all’interno del sistema per consentire una corretta gestione della contabilità analitica.</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L’amministratore di sistema e gli operatori autorizzati (questi ultimi solamente per le amministrazioni fuori bilancio) devono poter acquisire le informazioni necessarie per la configurazione dei centri di costo anche da fonti esterne e/o massivamente (ad es. attraverso protocollo di colloquio con sistemi terzi). Il sistema, nel caso di acquisizione da fonte esterna, deve poter acquisire anche le sole variazioni. </w:t>
            </w:r>
          </w:p>
          <w:p w:rsidR="005538F6" w:rsidRDefault="005538F6" w:rsidP="005538F6">
            <w:pPr>
              <w:pStyle w:val="NormaleWeb"/>
              <w:spacing w:before="60" w:beforeAutospacing="0" w:after="60" w:afterAutospacing="0"/>
              <w:jc w:val="both"/>
            </w:pPr>
            <w:r>
              <w:rPr>
                <w:rFonts w:ascii="Tahoma" w:hAnsi="Tahoma" w:cs="Tahoma"/>
                <w:color w:val="000000"/>
                <w:sz w:val="22"/>
                <w:szCs w:val="22"/>
              </w:rPr>
              <w:t>I dati minimali per la configurazione di un centro di costo per le amministrazioni del bilancio dello Stato (come da “</w:t>
            </w:r>
            <w:r>
              <w:rPr>
                <w:rFonts w:ascii="Tahoma" w:hAnsi="Tahoma" w:cs="Tahoma"/>
                <w:b/>
                <w:bCs/>
                <w:color w:val="000000"/>
                <w:sz w:val="22"/>
                <w:szCs w:val="22"/>
              </w:rPr>
              <w:t>flusso 204</w:t>
            </w:r>
            <w:r>
              <w:rPr>
                <w:rFonts w:ascii="Tahoma" w:hAnsi="Tahoma" w:cs="Tahoma"/>
                <w:color w:val="000000"/>
                <w:sz w:val="22"/>
                <w:szCs w:val="22"/>
              </w:rPr>
              <w:t>” tra NoiPA e RGS, vedi file allegato) sono i seguenti:</w:t>
            </w:r>
          </w:p>
          <w:p w:rsidR="005538F6" w:rsidRDefault="005538F6" w:rsidP="005538F6">
            <w:pPr>
              <w:pStyle w:val="NormaleWeb"/>
              <w:spacing w:before="0" w:beforeAutospacing="0" w:after="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centro di costo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Descrizione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Centro di responsabilità (vedi feature “</w:t>
            </w:r>
            <w:r>
              <w:rPr>
                <w:rFonts w:ascii="Tahoma" w:hAnsi="Tahoma" w:cs="Tahoma"/>
                <w:i/>
                <w:iCs/>
                <w:color w:val="000000"/>
                <w:sz w:val="22"/>
                <w:szCs w:val="22"/>
              </w:rPr>
              <w:t>TCLD_ECNF_FCCR0 – Configurazione centri di responsabilità</w:t>
            </w:r>
            <w:r>
              <w:rPr>
                <w:rFonts w:ascii="Tahoma" w:hAnsi="Tahoma" w:cs="Tahoma"/>
                <w:color w:val="000000"/>
                <w:sz w:val="22"/>
                <w:szCs w:val="22"/>
              </w:rPr>
              <w:t>”)</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Stato di previsione (vedi feature “</w:t>
            </w:r>
            <w:r>
              <w:rPr>
                <w:rFonts w:ascii="Tahoma" w:hAnsi="Tahoma" w:cs="Tahoma"/>
                <w:i/>
                <w:iCs/>
                <w:color w:val="000000"/>
                <w:sz w:val="22"/>
                <w:szCs w:val="22"/>
              </w:rPr>
              <w:t>TCLD_ECNF_FCSP0 – Configurazione stati di previsione</w:t>
            </w:r>
            <w:r>
              <w:rPr>
                <w:rFonts w:ascii="Tahoma" w:hAnsi="Tahoma" w:cs="Tahoma"/>
                <w:color w:val="000000"/>
                <w:sz w:val="22"/>
                <w:szCs w:val="22"/>
              </w:rPr>
              <w:t>”)</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0" w:beforeAutospacing="0" w:after="60" w:afterAutospacing="0"/>
              <w:ind w:left="720"/>
              <w:jc w:val="both"/>
            </w:pPr>
            <w:r>
              <w:rPr>
                <w:rFonts w:ascii="Tahoma" w:hAnsi="Tahoma" w:cs="Tahoma"/>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I dati minimali per la configurazione di un centro di costo per le amministrazioni fuori bilancio sono: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centro di costo</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Descrizione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Centro di responsabilità (campo opzionale) vedi feature “</w:t>
            </w:r>
            <w:r>
              <w:rPr>
                <w:rFonts w:ascii="Tahoma" w:hAnsi="Tahoma" w:cs="Tahoma"/>
                <w:i/>
                <w:iCs/>
                <w:color w:val="000000"/>
                <w:sz w:val="22"/>
                <w:szCs w:val="22"/>
              </w:rPr>
              <w:t>TCLD_ECNF_FCCR0 – Configurazione centri di responsabilità</w:t>
            </w:r>
            <w:r>
              <w:rPr>
                <w:rFonts w:ascii="Tahoma" w:hAnsi="Tahoma" w:cs="Tahoma"/>
                <w:color w:val="000000"/>
                <w:sz w:val="22"/>
                <w:szCs w:val="22"/>
              </w:rPr>
              <w:t>”)</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0" w:beforeAutospacing="0" w:after="60" w:afterAutospacing="0"/>
              <w:ind w:left="720" w:hanging="360"/>
              <w:jc w:val="both"/>
            </w:pPr>
          </w:p>
          <w:p w:rsidR="005538F6" w:rsidRDefault="005538F6" w:rsidP="005538F6">
            <w:pPr>
              <w:pStyle w:val="NormaleWeb"/>
              <w:spacing w:before="60" w:beforeAutospacing="0" w:after="60" w:afterAutospacing="0"/>
              <w:ind w:left="720" w:hanging="360"/>
              <w:jc w:val="both"/>
              <w:rPr>
                <w:rFonts w:ascii="Tahoma" w:hAnsi="Tahoma" w:cs="Tahoma"/>
                <w:color w:val="000000"/>
                <w:sz w:val="22"/>
                <w:szCs w:val="22"/>
              </w:rPr>
            </w:pPr>
          </w:p>
          <w:p w:rsidR="005538F6" w:rsidRDefault="005538F6" w:rsidP="005538F6">
            <w:pPr>
              <w:pStyle w:val="NormaleWeb"/>
              <w:spacing w:before="60" w:beforeAutospacing="0" w:after="60" w:afterAutospacing="0"/>
              <w:ind w:hanging="11"/>
              <w:jc w:val="both"/>
              <w:rPr>
                <w:rFonts w:ascii="Tahoma" w:hAnsi="Tahoma" w:cs="Tahoma"/>
                <w:color w:val="000000"/>
                <w:sz w:val="22"/>
                <w:szCs w:val="22"/>
              </w:rPr>
            </w:pPr>
            <w:r>
              <w:rPr>
                <w:rFonts w:ascii="Tahoma" w:hAnsi="Tahoma" w:cs="Tahoma"/>
                <w:color w:val="000000"/>
                <w:sz w:val="22"/>
                <w:szCs w:val="22"/>
              </w:rPr>
              <w:t>Deve essere possibile stabilire una struttura gerarchica tra i centri di costo indicando il centro di costo padre.</w:t>
            </w:r>
          </w:p>
          <w:p w:rsidR="005538F6" w:rsidRDefault="005538F6" w:rsidP="005538F6">
            <w:pPr>
              <w:pStyle w:val="NormaleWeb"/>
              <w:spacing w:before="60" w:beforeAutospacing="0" w:after="60" w:afterAutospacing="0"/>
              <w:ind w:hanging="11"/>
              <w:jc w:val="both"/>
              <w:rPr>
                <w:rFonts w:ascii="Tahoma" w:hAnsi="Tahoma" w:cs="Tahoma"/>
                <w:color w:val="000000"/>
                <w:sz w:val="22"/>
                <w:szCs w:val="22"/>
              </w:rPr>
            </w:pPr>
            <w:r>
              <w:rPr>
                <w:rFonts w:ascii="Tahoma" w:hAnsi="Tahoma" w:cs="Tahoma"/>
                <w:color w:val="000000"/>
                <w:sz w:val="22"/>
                <w:szCs w:val="22"/>
              </w:rPr>
              <w:t xml:space="preserve">Inoltre deve essere possibile indicare i dati di un responsabile. </w:t>
            </w:r>
          </w:p>
          <w:p w:rsidR="005538F6" w:rsidRDefault="005538F6" w:rsidP="005538F6">
            <w:pPr>
              <w:pStyle w:val="NormaleWeb"/>
              <w:spacing w:before="60" w:beforeAutospacing="0" w:after="60" w:afterAutospacing="0"/>
              <w:ind w:hanging="11"/>
              <w:jc w:val="both"/>
              <w:rPr>
                <w:rFonts w:ascii="Tahoma" w:hAnsi="Tahoma" w:cs="Tahoma"/>
                <w:color w:val="000000"/>
                <w:sz w:val="22"/>
                <w:szCs w:val="22"/>
              </w:rPr>
            </w:pPr>
            <w:r>
              <w:rPr>
                <w:rFonts w:ascii="Tahoma" w:hAnsi="Tahoma" w:cs="Tahoma"/>
                <w:color w:val="000000"/>
                <w:sz w:val="22"/>
                <w:szCs w:val="22"/>
              </w:rPr>
              <w:t>Il sistema deve mantenere la storicità delle variazioni eventualmente apportate e darne evidenza all’utente sia che si tratti di variazioni puntuali che variazioni da flusso.  Per questa tipologia di informazioni non è necessario gestire l'auditing dei campi.</w:t>
            </w:r>
          </w:p>
          <w:p w:rsidR="005538F6" w:rsidRDefault="005538F6" w:rsidP="005538F6">
            <w:pPr>
              <w:pStyle w:val="NormaleWeb"/>
              <w:spacing w:before="60" w:beforeAutospacing="0" w:after="60" w:afterAutospacing="0"/>
              <w:ind w:hanging="11"/>
              <w:jc w:val="both"/>
              <w:rPr>
                <w:rFonts w:ascii="Tahoma" w:hAnsi="Tahoma" w:cs="Tahoma"/>
                <w:color w:val="000000"/>
                <w:sz w:val="22"/>
                <w:szCs w:val="22"/>
              </w:rPr>
            </w:pPr>
            <w:r>
              <w:rPr>
                <w:rFonts w:ascii="Tahoma" w:hAnsi="Tahoma" w:cs="Tahoma"/>
                <w:color w:val="000000"/>
                <w:sz w:val="22"/>
                <w:szCs w:val="22"/>
              </w:rPr>
              <w:t>Il sistema non deve permettere l’eliminazione della configurazione di un centro di costo se già in uso dal sistema.</w:t>
            </w:r>
          </w:p>
          <w:p w:rsidR="005538F6" w:rsidRDefault="005538F6" w:rsidP="005538F6">
            <w:pPr>
              <w:pStyle w:val="NormaleWeb"/>
              <w:spacing w:before="60" w:beforeAutospacing="0" w:after="60" w:afterAutospacing="0"/>
              <w:ind w:left="720" w:hanging="360"/>
              <w:jc w:val="both"/>
              <w:rPr>
                <w:rFonts w:ascii="Tahoma" w:hAnsi="Tahoma" w:cs="Tahoma"/>
                <w:color w:val="000000"/>
                <w:sz w:val="22"/>
                <w:szCs w:val="22"/>
              </w:rPr>
            </w:pPr>
          </w:p>
          <w:p w:rsidR="005538F6" w:rsidRDefault="005538F6" w:rsidP="005538F6">
            <w:pPr>
              <w:pStyle w:val="NormaleWeb"/>
              <w:spacing w:before="60" w:beforeAutospacing="0" w:after="60" w:afterAutospacing="0"/>
              <w:ind w:left="720" w:hanging="360"/>
              <w:jc w:val="both"/>
              <w:rPr>
                <w:rFonts w:ascii="Tahoma" w:hAnsi="Tahoma" w:cs="Tahoma"/>
                <w:color w:val="000000"/>
                <w:sz w:val="22"/>
                <w:szCs w:val="22"/>
              </w:rPr>
            </w:pPr>
          </w:p>
          <w:p w:rsidR="005538F6" w:rsidRDefault="005538F6" w:rsidP="005538F6">
            <w:pPr>
              <w:pStyle w:val="NormaleWeb"/>
              <w:spacing w:before="60" w:beforeAutospacing="0" w:after="60" w:afterAutospacing="0"/>
              <w:ind w:left="720" w:hanging="360"/>
              <w:jc w:val="both"/>
              <w:rPr>
                <w:rFonts w:ascii="Tahoma" w:hAnsi="Tahoma" w:cs="Tahoma"/>
                <w:color w:val="000000"/>
                <w:sz w:val="22"/>
                <w:szCs w:val="22"/>
              </w:rPr>
            </w:pPr>
          </w:p>
          <w:p w:rsidR="005538F6" w:rsidRDefault="005538F6" w:rsidP="005538F6">
            <w:pPr>
              <w:pStyle w:val="NormaleWeb"/>
              <w:spacing w:before="0" w:beforeAutospacing="0" w:after="160" w:afterAutospacing="0"/>
              <w:rPr>
                <w:rFonts w:ascii="Tahoma" w:hAnsi="Tahoma" w:cs="Tahoma"/>
                <w:color w:val="000000"/>
                <w:sz w:val="22"/>
                <w:szCs w:val="22"/>
              </w:rPr>
            </w:pPr>
            <w:r>
              <w:rPr>
                <w:rFonts w:ascii="Calibri" w:hAnsi="Calibri" w:cs="Tahoma"/>
                <w:color w:val="000000"/>
                <w:sz w:val="22"/>
                <w:szCs w:val="22"/>
              </w:rPr>
              <w:t> </w:t>
            </w:r>
          </w:p>
          <w:p w:rsidR="005538F6" w:rsidRDefault="005538F6" w:rsidP="005538F6">
            <w:pPr>
              <w:pStyle w:val="NormaleWeb"/>
              <w:spacing w:before="60" w:beforeAutospacing="0" w:after="60" w:afterAutospacing="0"/>
              <w:ind w:left="720" w:hanging="360"/>
              <w:jc w:val="both"/>
              <w:rPr>
                <w:rFonts w:ascii="Tahoma" w:hAnsi="Tahoma" w:cs="Tahoma"/>
                <w:color w:val="000000"/>
                <w:sz w:val="22"/>
                <w:szCs w:val="22"/>
              </w:rPr>
            </w:pPr>
          </w:p>
          <w:p w:rsidR="005538F6" w:rsidRDefault="005538F6" w:rsidP="005538F6">
            <w:pPr>
              <w:pStyle w:val="NormaleWeb"/>
              <w:spacing w:before="60" w:beforeAutospacing="0" w:after="60" w:afterAutospacing="0"/>
              <w:ind w:left="720" w:hanging="360"/>
              <w:jc w:val="both"/>
            </w:pPr>
          </w:p>
          <w:p w:rsidR="005538F6" w:rsidRDefault="005538F6" w:rsidP="005538F6">
            <w:pPr>
              <w:pStyle w:val="NormaleWeb"/>
              <w:spacing w:before="60" w:beforeAutospacing="0" w:after="60" w:afterAutospacing="0"/>
              <w:ind w:left="720" w:hanging="360"/>
              <w:jc w:val="both"/>
            </w:pPr>
          </w:p>
          <w:p w:rsidR="005538F6" w:rsidRDefault="005538F6" w:rsidP="005538F6">
            <w:pPr>
              <w:pStyle w:val="NormaleWeb"/>
              <w:spacing w:before="60" w:beforeAutospacing="0" w:after="60" w:afterAutospacing="0"/>
              <w:ind w:left="720" w:hanging="360"/>
              <w:jc w:val="both"/>
            </w:pPr>
          </w:p>
          <w:p w:rsidR="005538F6" w:rsidRDefault="005538F6" w:rsidP="005538F6">
            <w:pPr>
              <w:pStyle w:val="NormaleWeb"/>
              <w:spacing w:before="60" w:beforeAutospacing="0" w:after="60" w:afterAutospacing="0"/>
              <w:jc w:val="both"/>
            </w:pPr>
          </w:p>
          <w:p w:rsidR="005538F6" w:rsidRDefault="005538F6" w:rsidP="005538F6">
            <w:pPr>
              <w:pStyle w:val="NormaleWeb"/>
              <w:spacing w:before="60" w:beforeAutospacing="0" w:after="60" w:afterAutospacing="0"/>
              <w:jc w:val="both"/>
            </w:pPr>
          </w:p>
          <w:p w:rsidR="005538F6" w:rsidRDefault="005538F6" w:rsidP="005538F6">
            <w:pPr>
              <w:pStyle w:val="NormaleWeb"/>
              <w:spacing w:before="60" w:beforeAutospacing="0" w:after="60" w:afterAutospacing="0"/>
              <w:jc w:val="both"/>
            </w:pPr>
            <w:r>
              <w:rPr>
                <w:rFonts w:ascii="Tahoma" w:hAnsi="Tahoma" w:cs="Tahoma"/>
                <w:noProof/>
                <w:color w:val="000000"/>
                <w:sz w:val="16"/>
                <w:szCs w:val="16"/>
              </w:rPr>
              <w:lastRenderedPageBreak/>
              <w:drawing>
                <wp:inline distT="0" distB="0" distL="0" distR="0">
                  <wp:extent cx="12592050" cy="6867525"/>
                  <wp:effectExtent l="0" t="0" r="0" b="9525"/>
                  <wp:docPr id="3" name="Immagine 3" descr="http://tfsprod.mef.gov.it/tfs/Cloudify-NoiPA/WorkItemTracking/v1.0/AttachFileHandler.ashx?FileNameGuid=2d53a4df-4a85-4265-a094-a2f91c7d8a92&amp;FileName=3.%20Configurazione%20centri%20di%20cos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fsprod.mef.gov.it/tfs/Cloudify-NoiPA/WorkItemTracking/v1.0/AttachFileHandler.ashx?FileNameGuid=2d53a4df-4a85-4265-a094-a2f91c7d8a92&amp;FileName=3.%20Configurazione%20centri%20di%20costo.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92050" cy="6867525"/>
                          </a:xfrm>
                          <a:prstGeom prst="rect">
                            <a:avLst/>
                          </a:prstGeom>
                          <a:noFill/>
                          <a:ln>
                            <a:noFill/>
                          </a:ln>
                        </pic:spPr>
                      </pic:pic>
                    </a:graphicData>
                  </a:graphic>
                </wp:inline>
              </w:drawing>
            </w:r>
          </w:p>
          <w:p w:rsidR="005538F6" w:rsidRDefault="005538F6" w:rsidP="005538F6">
            <w:pPr>
              <w:pStyle w:val="NormaleWeb"/>
              <w:spacing w:before="60" w:beforeAutospacing="0" w:after="60" w:afterAutospacing="0"/>
              <w:jc w:val="both"/>
            </w:pPr>
          </w:p>
          <w:p w:rsidR="005538F6" w:rsidRDefault="005538F6" w:rsidP="005538F6">
            <w:pPr>
              <w:pStyle w:val="NormaleWeb"/>
            </w:pPr>
            <w:r>
              <w:br/>
              <w:t>                                                                                                                                            </w:t>
            </w:r>
          </w:p>
          <w:permEnd w:id="712272813"/>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33636; 33637; 33638; 33639; 51669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933257794" w:edGrp="everyone"/>
      <w:permEnd w:id="933257794"/>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3" w:name="w2t2108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2121933065" w:edGrp="everyone"/>
            <w:r>
              <w:rPr>
                <w:rFonts w:ascii="Calibri" w:hAnsi="Calibri" w:cs="Calibri"/>
                <w:szCs w:val="26"/>
              </w:rPr>
              <w:t>TCLD_ECNF_FCPC0</w:t>
            </w:r>
            <w:permEnd w:id="21219330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14" w:history="1">
              <w:r w:rsidRPr="005538F6">
                <w:rPr>
                  <w:rStyle w:val="Collegamentoipertestuale"/>
                  <w:rFonts w:ascii="Calibri" w:hAnsi="Calibri" w:cs="Calibri"/>
                  <w:szCs w:val="20"/>
                </w:rPr>
                <w:t>21088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15" w:history="1">
              <w:r w:rsidRPr="005538F6">
                <w:rPr>
                  <w:rStyle w:val="Collegamentoipertestuale"/>
                  <w:rFonts w:ascii="Calibri" w:hAnsi="Calibri" w:cs="Calibri"/>
                  <w:szCs w:val="20"/>
                </w:rPr>
                <w:t>108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99</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3"/>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21088 - Configurazione dei parametri contabili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76418477" w:edGrp="everyone" w:displacedByCustomXml="next"/>
        <w:sdt>
          <w:sdtPr>
            <w:rPr>
              <w:rFonts w:ascii="Calibri" w:hAnsi="Calibri" w:cs="Calibri"/>
              <w:color w:val="000000" w:themeColor="text1"/>
              <w:szCs w:val="20"/>
            </w:rPr>
            <w:id w:val="128084548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47641847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337070682" w:edGrp="everyone"/>
            <w:r>
              <w:rPr>
                <w:rFonts w:ascii="Calibri" w:hAnsi="Calibri" w:cs="Calibri"/>
                <w:b/>
                <w:sz w:val="26"/>
                <w:szCs w:val="26"/>
              </w:rPr>
              <w:t>Configurazione dei parametri contabili</w:t>
            </w:r>
            <w:permEnd w:id="337070682"/>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0" w:beforeAutospacing="0" w:after="120" w:afterAutospacing="0"/>
              <w:jc w:val="both"/>
            </w:pPr>
            <w:permStart w:id="680623363" w:edGrp="everyone"/>
            <w:r>
              <w:rPr>
                <w:rFonts w:ascii="Tahoma" w:hAnsi="Tahoma" w:cs="Tahoma"/>
                <w:b/>
                <w:bCs/>
                <w:color w:val="000000"/>
                <w:sz w:val="28"/>
                <w:szCs w:val="28"/>
              </w:rPr>
              <w:t>Contesto di riferimento</w:t>
            </w:r>
          </w:p>
          <w:p w:rsidR="005538F6" w:rsidRDefault="005538F6" w:rsidP="005538F6">
            <w:pPr>
              <w:pStyle w:val="NormaleWeb"/>
              <w:spacing w:before="0" w:beforeAutospacing="0" w:after="120" w:afterAutospacing="0"/>
              <w:jc w:val="both"/>
            </w:pPr>
            <w:r>
              <w:rPr>
                <w:rFonts w:ascii="Tahoma" w:hAnsi="Tahoma" w:cs="Tahoma"/>
                <w:b/>
                <w:bCs/>
                <w:color w:val="000000"/>
                <w:sz w:val="28"/>
                <w:szCs w:val="28"/>
              </w:rPr>
              <w:t>Bilancio dello Stato</w:t>
            </w:r>
          </w:p>
          <w:p w:rsidR="005538F6" w:rsidRDefault="005538F6" w:rsidP="005538F6">
            <w:pPr>
              <w:pStyle w:val="NormaleWeb"/>
              <w:spacing w:before="0" w:beforeAutospacing="0" w:after="120" w:afterAutospacing="0"/>
              <w:jc w:val="both"/>
            </w:pPr>
            <w:r>
              <w:rPr>
                <w:rFonts w:ascii="Tahoma" w:hAnsi="Tahoma" w:cs="Tahoma"/>
                <w:color w:val="000000"/>
                <w:sz w:val="28"/>
                <w:szCs w:val="28"/>
              </w:rPr>
              <w:t xml:space="preserve">Secondo la legislazione vigente, gli stati di previsione della spesa sono organizzati per missioni e programmi. Le missioni descrivono le finalità generali perseguite attraverso la spesa dello Stato, mentre i programmi, che rappresentano le unità di voto parlamentare per quanto attiene alle spese, rappresentano le ripartizioni delle missioni in aree di attività omogenee per il raggiungimento delle finalità di ciascuna missione. Le missioni, in altre parole, rappresentano le grandi finalità perseguite attraverso la spesa pubblica, attualmente sono in numero di 34, delle quali 17 sono condivise fra più ministeri. A partire dal disegno di legge di bilancio per il triennio 2017-2019, i programmi sono a loro volta articolati in azioni, le quali descrivono nel dettaglio l’assegnazione delle risorse destinate al programma tra le diverse attività che lo compongono. L’introduzione delle azioni è mirato all’avvio di un processo di razionalizzazione delle autorizzazioni legislative sottostanti e a rendere maggiormente leggibili le attività svolte, le politiche attuate e i servizi erogati e a favorire il controllo e la valutazione dei risultati. La norma  inoltre prevede  che la realizzazione di ciascun programma è affidata ad un unico centro di responsabilità amministrativa, pertanto attualmente i programmi non possono essere condivisi fra più amministrazioni, con l’eccezione di due particolari programmi, che rappresentano rispettivamente le funzioni di indirizzo politico svolte dai Gabinetti e dagli uffici di diretta collaborazione </w:t>
            </w:r>
            <w:r>
              <w:rPr>
                <w:rFonts w:ascii="Tahoma" w:hAnsi="Tahoma" w:cs="Tahoma"/>
                <w:color w:val="000000"/>
                <w:sz w:val="28"/>
                <w:szCs w:val="28"/>
              </w:rPr>
              <w:lastRenderedPageBreak/>
              <w:t>all’opera dei ministri e quelle relative al funzionamento generale delle amministrazioni (gestione del personale, affari generali, etc.).</w:t>
            </w:r>
          </w:p>
          <w:p w:rsidR="005538F6" w:rsidRDefault="005538F6" w:rsidP="005538F6">
            <w:pPr>
              <w:pStyle w:val="NormaleWeb"/>
              <w:spacing w:before="0" w:beforeAutospacing="0" w:after="120" w:afterAutospacing="0" w:line="254" w:lineRule="auto"/>
              <w:jc w:val="both"/>
            </w:pPr>
            <w:r>
              <w:rPr>
                <w:rFonts w:ascii="Tahoma" w:hAnsi="Tahoma" w:cs="Tahoma"/>
                <w:color w:val="000000"/>
                <w:sz w:val="28"/>
                <w:szCs w:val="28"/>
              </w:rPr>
              <w:t xml:space="preserve">Inoltre, relativamente ai criteri di imputazione contabile, negli stati di previsione della spesa del Bilancio dello Stato, principalmente per ragioni gestionali, le azioni sono ulteriormente suddivise in capitoli. Questi ultimi hanno codifica e articolazione diversa da ministero a ministero e sono distinti per oggetto di spesa. Il capitolo, attualmente, costituisce l’unità elementare di bilancio ai fini della gestione e della rendicontazione e può essere suddiviso in piani gestionali. </w:t>
            </w:r>
          </w:p>
          <w:p w:rsidR="005538F6" w:rsidRDefault="005538F6" w:rsidP="005538F6">
            <w:pPr>
              <w:pStyle w:val="NormaleWeb"/>
              <w:spacing w:before="0" w:beforeAutospacing="0" w:after="120" w:afterAutospacing="0" w:line="254" w:lineRule="auto"/>
              <w:jc w:val="both"/>
            </w:pPr>
            <w:r>
              <w:rPr>
                <w:rFonts w:ascii="Tahoma" w:hAnsi="Tahoma" w:cs="Tahoma"/>
                <w:b/>
                <w:bCs/>
                <w:color w:val="000000"/>
                <w:sz w:val="28"/>
                <w:szCs w:val="28"/>
              </w:rPr>
              <w:t>Regioni ed Enti Locali</w:t>
            </w:r>
          </w:p>
          <w:p w:rsidR="005538F6" w:rsidRDefault="005538F6" w:rsidP="005538F6">
            <w:pPr>
              <w:pStyle w:val="NormaleWeb"/>
              <w:spacing w:before="0" w:beforeAutospacing="0" w:after="160" w:afterAutospacing="0"/>
              <w:jc w:val="both"/>
            </w:pPr>
            <w:r>
              <w:rPr>
                <w:rFonts w:ascii="Tahoma" w:hAnsi="Tahoma" w:cs="Tahoma"/>
                <w:color w:val="000000"/>
                <w:sz w:val="28"/>
                <w:szCs w:val="28"/>
              </w:rPr>
              <w:t>Le spese sono classificate secondo criteri omogenei allo scopo di assicurare maggiore trasparenza delle informazioni riguardanti la destinazione delle risorse pubbliche, agevolare la lettura secondo la finalità di spesa, consentire pertanto la più ampia comparabilità dei dati di bilancio e permetterne l’aggregazione. A tal fine, la parte Spesa del bilancio è articolata in missioni e programmi (articolo 14 del decreto legislativo n. 118 del 2011), la cui elencazione è obbligatoria per tutti gli Enti:</w:t>
            </w:r>
          </w:p>
          <w:p w:rsidR="005538F6" w:rsidRDefault="005538F6" w:rsidP="005538F6">
            <w:pPr>
              <w:pStyle w:val="NormaleWeb"/>
              <w:spacing w:before="0" w:beforeAutospacing="0" w:after="0" w:afterAutospacing="0"/>
              <w:ind w:left="720" w:hanging="360"/>
              <w:jc w:val="both"/>
            </w:pPr>
            <w:r>
              <w:rPr>
                <w:rFonts w:ascii="Symbol" w:hAnsi="Symbol"/>
                <w:sz w:val="20"/>
                <w:szCs w:val="20"/>
              </w:rPr>
              <w:t></w:t>
            </w:r>
            <w:r>
              <w:rPr>
                <w:sz w:val="14"/>
                <w:szCs w:val="14"/>
              </w:rPr>
              <w:t xml:space="preserve">         </w:t>
            </w:r>
            <w:r>
              <w:rPr>
                <w:rFonts w:ascii="Tahoma" w:hAnsi="Tahoma" w:cs="Tahoma"/>
                <w:sz w:val="28"/>
                <w:szCs w:val="28"/>
              </w:rPr>
              <w:t>le missioni rappresentano le funzioni principali e gli obiettivi strategici perseguiti dalle amministrazioni utilizzando risorse finanziarie, umane e strumentali ad esse destinate; sono definite in base al riparto di competenze stabilito dagli articoli 117 e 118 della Costituzione, assumendo come riferimento le missioni individuate per lo Stato;</w:t>
            </w:r>
          </w:p>
          <w:p w:rsidR="005538F6" w:rsidRDefault="005538F6" w:rsidP="005538F6">
            <w:pPr>
              <w:pStyle w:val="NormaleWeb"/>
              <w:spacing w:before="0"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i programmi rappresentano gli aggregati omogenei di attività volte a perseguire gli obiettivi istituzionali definiti nell’ambito delle missioni; la denominazione del programma riflette le principali aree di intervento delle missioni di riferimento, consentendo una rappresentazione di bilancio, omogenea per tutti gli enti pubblici, che evidenzia le politiche realizzate da ciascuna amministrazione con pubbliche risorse.</w:t>
            </w:r>
          </w:p>
          <w:p w:rsidR="005538F6" w:rsidRDefault="005538F6" w:rsidP="005538F6">
            <w:pPr>
              <w:pStyle w:val="NormaleWeb"/>
              <w:spacing w:before="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all’interno dell’aggregato missione/programma le spese sono suddivise per “titoli”, secondo i principali aggregati economici che le contraddistinguono. L’unità di voto per la spesa in sede di approvazione consiliare del bilancio di previsione e del rendiconto è costituita dai “programmi/titoli”. I programmi, articolati in titoli, ai fini della gestione sono ripartiti in macro-aggregati, elementi che trovano compiuta rappresentazione nel “piano esecutivo di gestione”.</w:t>
            </w:r>
          </w:p>
          <w:p w:rsidR="005538F6" w:rsidRDefault="005538F6" w:rsidP="005538F6">
            <w:pPr>
              <w:pStyle w:val="NormaleWeb"/>
              <w:spacing w:before="0" w:beforeAutospacing="0" w:after="160" w:afterAutospacing="0" w:line="254" w:lineRule="auto"/>
              <w:jc w:val="both"/>
            </w:pPr>
            <w:r>
              <w:rPr>
                <w:rFonts w:ascii="Tahoma" w:hAnsi="Tahoma" w:cs="Tahoma"/>
                <w:color w:val="000000"/>
                <w:sz w:val="28"/>
                <w:szCs w:val="28"/>
              </w:rPr>
              <w:t xml:space="preserve">Inoltre, relativamente ai criteri di imputazione contabile, </w:t>
            </w:r>
            <w:r>
              <w:rPr>
                <w:rFonts w:ascii="Tahoma" w:hAnsi="Tahoma" w:cs="Tahoma"/>
                <w:sz w:val="28"/>
                <w:szCs w:val="28"/>
              </w:rPr>
              <w:t xml:space="preserve">a norma dell’art 2 del decreto legislativo n.118 del 2011, le Regioni e gli enti locali adottano la contabilità finanziaria cui affiancano, ai fini conoscitivi, un sistema di contabilità economico-patrimoniale, </w:t>
            </w:r>
            <w:r>
              <w:rPr>
                <w:rFonts w:ascii="Tahoma" w:hAnsi="Tahoma" w:cs="Tahoma"/>
                <w:sz w:val="28"/>
                <w:szCs w:val="28"/>
              </w:rPr>
              <w:lastRenderedPageBreak/>
              <w:t>garantendo la rilevazione unitaria dei fatti gestionali, sia sotto il profilo finanziario che sotto il profilo economico-patrimoniale.</w:t>
            </w:r>
          </w:p>
          <w:p w:rsidR="005538F6" w:rsidRDefault="005538F6" w:rsidP="005538F6">
            <w:pPr>
              <w:pStyle w:val="NormaleWeb"/>
              <w:spacing w:before="0" w:beforeAutospacing="0" w:after="160" w:afterAutospacing="0" w:line="254" w:lineRule="auto"/>
              <w:jc w:val="both"/>
            </w:pPr>
            <w:r>
              <w:rPr>
                <w:rFonts w:ascii="Tahoma" w:hAnsi="Tahoma" w:cs="Tahoma"/>
                <w:color w:val="000000"/>
                <w:sz w:val="28"/>
                <w:szCs w:val="28"/>
              </w:rPr>
              <w:t>Secondo la normativa vigente pertanto, i capitoli e gli articoli rappresentano le ripartizioni dei macro-aggregati ai fini della gestione. Per soddisfare l’esigenza di simultanea rilevazione dei fatti gestionali sotto l’aspetto economico-patrimoniale, i capitoli e gli articoli si raccordano con il IV livello di articolazione del piano integrato dei conti di cui all’articolo 4 del medesimo decreto legislativo n. 118 del 2011. I capitoli/articoli, oltre che   per missioni e programmi, devono quindi essere riclassificati anche ai fini del piano dei conti finanziario (almeno al quarto livello), nel rispetto dell’articolo 7 del D.Lgs. n. 118/2011, che vieta l’adozione del criterio della prevalenza (anche per le spese di personale).</w:t>
            </w:r>
          </w:p>
          <w:p w:rsidR="005538F6" w:rsidRDefault="005538F6" w:rsidP="005538F6">
            <w:pPr>
              <w:pStyle w:val="NormaleWeb"/>
              <w:spacing w:before="0" w:beforeAutospacing="0" w:after="160" w:afterAutospacing="0"/>
              <w:jc w:val="both"/>
            </w:pPr>
            <w:r>
              <w:rPr>
                <w:rFonts w:ascii="Tahoma" w:hAnsi="Tahoma" w:cs="Tahoma"/>
                <w:color w:val="000000"/>
                <w:sz w:val="28"/>
                <w:szCs w:val="28"/>
              </w:rPr>
              <w:t> </w:t>
            </w:r>
          </w:p>
          <w:p w:rsidR="005538F6" w:rsidRDefault="005538F6" w:rsidP="005538F6">
            <w:pPr>
              <w:pStyle w:val="NormaleWeb"/>
              <w:spacing w:before="0" w:beforeAutospacing="0" w:after="120" w:afterAutospacing="0"/>
              <w:jc w:val="both"/>
            </w:pPr>
            <w:r>
              <w:rPr>
                <w:rFonts w:ascii="Tahoma" w:hAnsi="Tahoma" w:cs="Tahoma"/>
                <w:b/>
                <w:bCs/>
                <w:color w:val="000000"/>
                <w:sz w:val="28"/>
                <w:szCs w:val="28"/>
              </w:rPr>
              <w:t>Aziende Sanitarie e altre amministrazioni che applicano la contabilità economica</w:t>
            </w:r>
          </w:p>
          <w:p w:rsidR="005538F6" w:rsidRDefault="005538F6" w:rsidP="005538F6">
            <w:pPr>
              <w:pStyle w:val="NormaleWeb"/>
              <w:spacing w:before="0" w:beforeAutospacing="0" w:after="0" w:afterAutospacing="0"/>
              <w:jc w:val="both"/>
            </w:pPr>
            <w:r>
              <w:rPr>
                <w:rFonts w:ascii="Tahoma" w:hAnsi="Tahoma" w:cs="Tahoma"/>
                <w:sz w:val="28"/>
                <w:szCs w:val="28"/>
              </w:rPr>
              <w:t xml:space="preserve">Il sistema di contabilità economica, basato sulle rilevazioni dei costi e dei ricavi mediante la tecnica della partita doppia, ha lo scopo di pervenire alla sintesi della gestione tramite il bilancio di esercizio e l’interpretazione dei fenomeni gestionali all’interno dell’azienda sanitaria. </w:t>
            </w:r>
          </w:p>
          <w:p w:rsidR="005538F6" w:rsidRDefault="005538F6" w:rsidP="005538F6">
            <w:pPr>
              <w:pStyle w:val="NormaleWeb"/>
              <w:spacing w:before="0" w:beforeAutospacing="0" w:after="0" w:afterAutospacing="0"/>
              <w:jc w:val="both"/>
            </w:pPr>
            <w:r>
              <w:rPr>
                <w:rFonts w:ascii="Tahoma" w:hAnsi="Tahoma" w:cs="Tahoma"/>
                <w:sz w:val="28"/>
                <w:szCs w:val="28"/>
              </w:rPr>
              <w:t xml:space="preserve">Un aspetto peculiare e distintivo rispetto alla contabilità finanziaria è che tale sistema è centrato sul “risultato economico della gestione” e non sull’autorizzazione alla spesa. Pertanto, la contabilità economica non prevede un sistema autorizzativo e conseguentemente non esiste un bilancio di tipo autorizzativo. Sulla base degli obblighi di legge e dei principi della contabilità economica, le aziende sono tenute a predisporre il bilancio pluriennale di previsione, il bilancio economico preventivo e il bilancio di esercizio. Le norme civilistiche vigenti (art. 2423 del Codice Civile) prevedono che la stesura del bilancio di esercizio sia organizzata secondo una struttura vincolante che si esprime mediante il conto economico, lo stato patrimoniale, la nota integrativa ed eventuali altri allegati esplicativi. </w:t>
            </w:r>
          </w:p>
          <w:p w:rsidR="005538F6" w:rsidRDefault="005538F6" w:rsidP="005538F6">
            <w:pPr>
              <w:pStyle w:val="NormaleWeb"/>
              <w:spacing w:before="60" w:beforeAutospacing="0" w:after="60" w:afterAutospacing="0" w:line="254" w:lineRule="auto"/>
              <w:jc w:val="both"/>
            </w:pPr>
            <w:r>
              <w:rPr>
                <w:rFonts w:ascii="Tahoma" w:hAnsi="Tahoma" w:cs="Tahoma"/>
                <w:color w:val="000000"/>
                <w:sz w:val="28"/>
                <w:szCs w:val="28"/>
              </w:rPr>
              <w:t>Inoltre, relativamente ai criteri di imputazione contabile</w:t>
            </w:r>
            <w:r>
              <w:rPr>
                <w:rFonts w:ascii="Tahoma" w:hAnsi="Tahoma" w:cs="Tahoma"/>
                <w:sz w:val="28"/>
                <w:szCs w:val="28"/>
              </w:rPr>
              <w:t>, secondo la normativa vigente, le aziende del SSN non utilizzano più schemi di bilancio finanziario, ma redigono bilanci di esercizio, ovvero utilizzano una contabilità economico-patrimoniale (o generale) basata sul piano dei conti in partita doppia, integrata con una contabilità di tipo analitico (per centri di responsabilità, centri di costo, fattori produttivi ecc.).</w:t>
            </w:r>
          </w:p>
          <w:p w:rsidR="005538F6" w:rsidRDefault="005538F6" w:rsidP="005538F6">
            <w:pPr>
              <w:pStyle w:val="NormaleWeb"/>
              <w:spacing w:before="60" w:beforeAutospacing="0" w:after="60" w:afterAutospacing="0" w:line="254" w:lineRule="auto"/>
              <w:jc w:val="both"/>
            </w:pPr>
            <w:r>
              <w:rPr>
                <w:rFonts w:ascii="Tahoma" w:hAnsi="Tahoma" w:cs="Tahoma"/>
                <w:color w:val="000000"/>
                <w:sz w:val="28"/>
                <w:szCs w:val="28"/>
              </w:rPr>
              <w:t>*****************************</w:t>
            </w:r>
          </w:p>
          <w:p w:rsidR="005538F6" w:rsidRDefault="005538F6" w:rsidP="005538F6">
            <w:pPr>
              <w:pStyle w:val="NormaleWeb"/>
              <w:spacing w:before="60" w:beforeAutospacing="0" w:after="60" w:afterAutospacing="0"/>
              <w:jc w:val="both"/>
            </w:pPr>
            <w:r>
              <w:rPr>
                <w:rFonts w:ascii="Tahoma" w:hAnsi="Tahoma" w:cs="Tahoma"/>
                <w:color w:val="000000"/>
                <w:sz w:val="28"/>
                <w:szCs w:val="28"/>
              </w:rPr>
              <w:t> </w:t>
            </w:r>
          </w:p>
          <w:p w:rsidR="005538F6" w:rsidRDefault="005538F6" w:rsidP="005538F6">
            <w:pPr>
              <w:pStyle w:val="NormaleWeb"/>
              <w:spacing w:before="60" w:beforeAutospacing="0" w:after="60" w:afterAutospacing="0"/>
              <w:jc w:val="both"/>
            </w:pPr>
            <w:r>
              <w:rPr>
                <w:rFonts w:ascii="Tahoma" w:hAnsi="Tahoma" w:cs="Tahoma"/>
                <w:color w:val="000000"/>
                <w:sz w:val="28"/>
                <w:szCs w:val="28"/>
              </w:rPr>
              <w:lastRenderedPageBreak/>
              <w:t xml:space="preserve">L’amministratore di sistema deve poter configurare i parametri contabili da utilizzare per definire i differenti impianti contabili. </w:t>
            </w:r>
          </w:p>
          <w:p w:rsidR="005538F6" w:rsidRDefault="005538F6" w:rsidP="005538F6">
            <w:pPr>
              <w:pStyle w:val="NormaleWeb"/>
              <w:spacing w:before="60" w:beforeAutospacing="0" w:after="60" w:afterAutospacing="0" w:line="254" w:lineRule="auto"/>
              <w:jc w:val="both"/>
            </w:pPr>
            <w:r>
              <w:rPr>
                <w:rFonts w:ascii="Tahoma" w:hAnsi="Tahoma" w:cs="Tahoma"/>
                <w:color w:val="000000"/>
                <w:sz w:val="28"/>
                <w:szCs w:val="28"/>
              </w:rPr>
              <w:t>Inoltre, l’amministratore di sistema, nell’ambito delle diverse gestioni contabili, deve poter identificare un parametro contabile come elemento di imputazione contabile, laddove la specifica contabilità lo richieda per una gestione efficace anche ai fini dell’associazione degli aggregatori driver di spesa (ad es: tipo amministrati, struttura/e di appartenenza, voci stipendiali; vedi feature “</w:t>
            </w:r>
            <w:r>
              <w:rPr>
                <w:rFonts w:ascii="Tahoma" w:hAnsi="Tahoma" w:cs="Tahoma"/>
                <w:i/>
                <w:iCs/>
                <w:color w:val="000000"/>
                <w:sz w:val="28"/>
                <w:szCs w:val="28"/>
              </w:rPr>
              <w:t>TCLD_ECNF_FCAC0 - Configurazione aggregatori contabili</w:t>
            </w:r>
            <w:r>
              <w:rPr>
                <w:rFonts w:ascii="Tahoma" w:hAnsi="Tahoma" w:cs="Tahoma"/>
                <w:color w:val="000000"/>
                <w:sz w:val="28"/>
                <w:szCs w:val="28"/>
              </w:rPr>
              <w:t>”).</w:t>
            </w:r>
          </w:p>
          <w:p w:rsidR="005538F6" w:rsidRDefault="005538F6" w:rsidP="005538F6">
            <w:pPr>
              <w:pStyle w:val="NormaleWeb"/>
              <w:spacing w:before="60" w:beforeAutospacing="0" w:after="60" w:afterAutospacing="0" w:line="254" w:lineRule="auto"/>
              <w:jc w:val="both"/>
            </w:pPr>
            <w:r>
              <w:rPr>
                <w:rFonts w:ascii="Tahoma" w:hAnsi="Tahoma" w:cs="Tahoma"/>
                <w:color w:val="000000"/>
                <w:sz w:val="28"/>
                <w:szCs w:val="28"/>
              </w:rPr>
              <w:t>I valori minimali da inserire per ogni parametro configurato sono: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8"/>
                <w:szCs w:val="28"/>
              </w:rPr>
              <w:t>Codice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Descrizione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Elemento di imputazione contabile (si/no)</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Data di fine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8"/>
                <w:szCs w:val="28"/>
              </w:rPr>
              <w:t>Note</w:t>
            </w:r>
          </w:p>
          <w:p w:rsidR="005538F6" w:rsidRDefault="005538F6" w:rsidP="005538F6">
            <w:pPr>
              <w:pStyle w:val="NormaleWeb"/>
              <w:spacing w:before="60" w:beforeAutospacing="0" w:after="60" w:afterAutospacing="0"/>
              <w:jc w:val="both"/>
            </w:pPr>
            <w:r>
              <w:rPr>
                <w:rFonts w:ascii="Tahoma" w:hAnsi="Tahoma" w:cs="Tahoma"/>
                <w:color w:val="000000"/>
                <w:sz w:val="28"/>
                <w:szCs w:val="28"/>
              </w:rPr>
              <w:t> </w:t>
            </w:r>
          </w:p>
          <w:p w:rsidR="005538F6" w:rsidRDefault="005538F6" w:rsidP="005538F6">
            <w:pPr>
              <w:pStyle w:val="NormaleWeb"/>
              <w:spacing w:before="60" w:beforeAutospacing="0" w:after="60" w:afterAutospacing="0"/>
              <w:jc w:val="both"/>
            </w:pPr>
            <w:r>
              <w:rPr>
                <w:rFonts w:ascii="Tahoma" w:hAnsi="Tahoma" w:cs="Tahoma"/>
                <w:color w:val="000000"/>
                <w:sz w:val="28"/>
                <w:szCs w:val="28"/>
              </w:rPr>
              <w:t>L’amministratore di sistema, anche in base alle esigenze delle diverse amministrazioni, deve poter aggiungere, rimuovere o eliminare i parametri che caratterizzano la configurazione degli elementi all’interno della presente feature. Tali operazioni devono essere possibili secondo le modalità generali di creazione di campi aggiuntivi da associare a entità preesistenti (vedi Cloudify NoiPA - Ambiti di configurabilità – UI).</w:t>
            </w:r>
          </w:p>
          <w:p w:rsidR="005538F6" w:rsidRDefault="005538F6" w:rsidP="005538F6">
            <w:pPr>
              <w:pStyle w:val="NormaleWeb"/>
              <w:spacing w:before="60" w:beforeAutospacing="0" w:after="60" w:afterAutospacing="0"/>
              <w:jc w:val="both"/>
            </w:pPr>
            <w:r>
              <w:rPr>
                <w:rFonts w:ascii="Tahoma" w:hAnsi="Tahoma" w:cs="Tahoma"/>
                <w:color w:val="000000"/>
                <w:sz w:val="28"/>
                <w:szCs w:val="28"/>
              </w:rPr>
              <w:t>Nell’ambito del Bilancio dello Stato, il responsabile del dato relativo ai parametri contabili da inserire e/o da modificare deve essere sempre RGS per le competenze dei relativi Ispettorati (Es. IGB, IGF, IGCS, etc.).</w:t>
            </w:r>
          </w:p>
          <w:p w:rsidR="005538F6" w:rsidRDefault="005538F6" w:rsidP="005538F6">
            <w:pPr>
              <w:pStyle w:val="NormaleWeb"/>
              <w:spacing w:before="60" w:beforeAutospacing="0" w:after="60" w:afterAutospacing="0"/>
              <w:jc w:val="both"/>
            </w:pPr>
            <w:r>
              <w:rPr>
                <w:rFonts w:ascii="Tahoma" w:hAnsi="Tahoma" w:cs="Tahoma"/>
                <w:color w:val="000000"/>
                <w:sz w:val="28"/>
                <w:szCs w:val="28"/>
              </w:rPr>
              <w:t> </w:t>
            </w:r>
          </w:p>
          <w:p w:rsidR="005538F6" w:rsidRDefault="005538F6" w:rsidP="005538F6">
            <w:pPr>
              <w:pStyle w:val="NormaleWeb"/>
              <w:spacing w:before="60" w:beforeAutospacing="0" w:after="60" w:afterAutospacing="0"/>
              <w:jc w:val="both"/>
            </w:pPr>
            <w:r>
              <w:rPr>
                <w:rFonts w:ascii="Tahoma" w:hAnsi="Tahoma" w:cs="Tahoma"/>
                <w:color w:val="000000"/>
                <w:sz w:val="28"/>
                <w:szCs w:val="28"/>
              </w:rPr>
              <w:t>Nota: per il rispetto della normativa vigente, a livello di sistema, devono essere configurati già in fase di startup i seguenti parametri contabili minimali utili ai fini del Bilancio dello Stato: “missioni”, “programmi”, “azioni”, “capitoli”, “conti”, “centri di responsabilità” (configurati attraverso le apposita feature “</w:t>
            </w:r>
            <w:r>
              <w:rPr>
                <w:rFonts w:ascii="Tahoma" w:hAnsi="Tahoma" w:cs="Tahoma"/>
                <w:i/>
                <w:iCs/>
                <w:color w:val="000000"/>
                <w:sz w:val="28"/>
                <w:szCs w:val="28"/>
              </w:rPr>
              <w:t>TCLD_ECNF_FCCR0 – Configurazione centri di responsabilità</w:t>
            </w:r>
            <w:r>
              <w:rPr>
                <w:rFonts w:ascii="Tahoma" w:hAnsi="Tahoma" w:cs="Tahoma"/>
                <w:color w:val="000000"/>
                <w:sz w:val="28"/>
                <w:szCs w:val="28"/>
              </w:rPr>
              <w:t>”), “centri di costo” (configurati attraverso le apposita feature “</w:t>
            </w:r>
            <w:r>
              <w:rPr>
                <w:rFonts w:ascii="Tahoma" w:hAnsi="Tahoma" w:cs="Tahoma"/>
                <w:i/>
                <w:iCs/>
                <w:color w:val="000000"/>
                <w:sz w:val="28"/>
                <w:szCs w:val="28"/>
              </w:rPr>
              <w:t>TCLD_ECNF_FCCC0 – Configurazione centri di costo</w:t>
            </w:r>
            <w:r>
              <w:rPr>
                <w:rFonts w:ascii="Tahoma" w:hAnsi="Tahoma" w:cs="Tahoma"/>
                <w:color w:val="000000"/>
                <w:sz w:val="28"/>
                <w:szCs w:val="28"/>
              </w:rPr>
              <w:t>”). Per i template delle amministrazioni fuori bilancio, i parametri contabili da prevedere in configurazione devono  essere: “missioni”, “programmi”, “titoli”, “macroaggregati“, “capitoli”, “articoli”, centri di responsabilità, configurati attraverso  apposita feature “</w:t>
            </w:r>
            <w:r>
              <w:rPr>
                <w:rFonts w:ascii="Tahoma" w:hAnsi="Tahoma" w:cs="Tahoma"/>
                <w:i/>
                <w:iCs/>
                <w:color w:val="000000"/>
                <w:sz w:val="28"/>
                <w:szCs w:val="28"/>
              </w:rPr>
              <w:t>TCLD_ECNF_FCCR0 – Configurazione centri di responsabilità</w:t>
            </w:r>
            <w:r>
              <w:rPr>
                <w:rFonts w:ascii="Tahoma" w:hAnsi="Tahoma" w:cs="Tahoma"/>
                <w:color w:val="000000"/>
                <w:sz w:val="28"/>
                <w:szCs w:val="28"/>
              </w:rPr>
              <w:t>”), “centri di costo” (configurati attraverso le apposita feature “</w:t>
            </w:r>
            <w:r>
              <w:rPr>
                <w:rFonts w:ascii="Tahoma" w:hAnsi="Tahoma" w:cs="Tahoma"/>
                <w:i/>
                <w:iCs/>
                <w:color w:val="000000"/>
                <w:sz w:val="28"/>
                <w:szCs w:val="28"/>
              </w:rPr>
              <w:t xml:space="preserve">TCLD_ECNF_FCCC0 – Configurazione </w:t>
            </w:r>
            <w:r>
              <w:rPr>
                <w:rFonts w:ascii="Tahoma" w:hAnsi="Tahoma" w:cs="Tahoma"/>
                <w:i/>
                <w:iCs/>
                <w:color w:val="000000"/>
                <w:sz w:val="28"/>
                <w:szCs w:val="28"/>
              </w:rPr>
              <w:lastRenderedPageBreak/>
              <w:t>centri di costo</w:t>
            </w:r>
            <w:r>
              <w:rPr>
                <w:rFonts w:ascii="Tahoma" w:hAnsi="Tahoma" w:cs="Tahoma"/>
                <w:color w:val="000000"/>
                <w:sz w:val="28"/>
                <w:szCs w:val="28"/>
              </w:rPr>
              <w:t>”), “conti”, fattori produttivi (configurati attraverso la feature “</w:t>
            </w:r>
            <w:r>
              <w:rPr>
                <w:rFonts w:ascii="Tahoma" w:hAnsi="Tahoma" w:cs="Tahoma"/>
                <w:i/>
                <w:iCs/>
                <w:color w:val="000000"/>
                <w:sz w:val="28"/>
                <w:szCs w:val="28"/>
              </w:rPr>
              <w:t>TCLD_ECNF_FCFP0 – Configurazione fattori produttivi</w:t>
            </w:r>
            <w:r>
              <w:rPr>
                <w:rFonts w:ascii="Tahoma" w:hAnsi="Tahoma" w:cs="Tahoma"/>
                <w:color w:val="000000"/>
                <w:sz w:val="28"/>
                <w:szCs w:val="28"/>
              </w:rPr>
              <w:t xml:space="preserve">”), etc. </w:t>
            </w:r>
          </w:p>
          <w:p w:rsidR="005538F6" w:rsidRDefault="005538F6" w:rsidP="005538F6">
            <w:pPr>
              <w:pStyle w:val="NormaleWeb"/>
              <w:spacing w:before="0" w:beforeAutospacing="0" w:after="120" w:afterAutospacing="0"/>
              <w:jc w:val="both"/>
            </w:pPr>
            <w:r>
              <w:rPr>
                <w:rFonts w:ascii="Tahoma" w:hAnsi="Tahoma" w:cs="Tahoma"/>
                <w:sz w:val="28"/>
                <w:szCs w:val="28"/>
              </w:rPr>
              <w:t xml:space="preserve">Ai fini esemplificativi dell’indicazione della validità come elemento di imputazione contabile, si citano: </w:t>
            </w:r>
          </w:p>
          <w:p w:rsidR="005538F6" w:rsidRDefault="005538F6" w:rsidP="005538F6">
            <w:pPr>
              <w:pStyle w:val="NormaleWeb"/>
              <w:spacing w:before="60" w:beforeAutospacing="0" w:after="60" w:afterAutospacing="0"/>
              <w:ind w:left="720" w:hanging="360"/>
              <w:jc w:val="both"/>
            </w:pPr>
            <w:r>
              <w:rPr>
                <w:sz w:val="28"/>
                <w:szCs w:val="28"/>
              </w:rPr>
              <w:t>1.</w:t>
            </w:r>
            <w:r>
              <w:rPr>
                <w:sz w:val="14"/>
                <w:szCs w:val="14"/>
              </w:rPr>
              <w:t xml:space="preserve">     </w:t>
            </w:r>
            <w:r>
              <w:rPr>
                <w:rFonts w:ascii="Tahoma" w:hAnsi="Tahoma" w:cs="Tahoma"/>
                <w:sz w:val="28"/>
                <w:szCs w:val="28"/>
              </w:rPr>
              <w:t>L’attuale elemento di imputazione per la contabilità finanziaria per le amministrazioni in bilancio può essere il “capitolo di entrata” o “il capitolo di spesa ”. Nel caso di capitoli cosiddetti di “cedolino unico” (ma anche per altri capitoli di spesa), l’elemento di imputazione contabile è composto dal parametro di bilancio “capitolo” e dal sotto-livello “piano gestionale” (vedi feature “</w:t>
            </w:r>
            <w:r>
              <w:rPr>
                <w:rFonts w:ascii="Tahoma" w:hAnsi="Tahoma" w:cs="Tahoma"/>
                <w:i/>
                <w:iCs/>
                <w:sz w:val="28"/>
                <w:szCs w:val="28"/>
              </w:rPr>
              <w:t>TCLD_ECNF_FCPC0 – Configurazione dei parametri contabili</w:t>
            </w:r>
            <w:r>
              <w:rPr>
                <w:rFonts w:ascii="Tahoma" w:hAnsi="Tahoma" w:cs="Tahoma"/>
                <w:sz w:val="28"/>
                <w:szCs w:val="28"/>
              </w:rPr>
              <w:t>”). Ogni capitolo può prevedere da 0 a “n” piani gestionali con numerazione progressiva. Nei capitoli di “cedolino unico” è sempre presente il piano gestionale 50, che consente l’imputazione della spesa relativa ad una riemissione che rappresenta, nel caso specifico, l’elemento di aggregazione, a seguito di uno storno (vedi Feature “</w:t>
            </w:r>
            <w:r>
              <w:rPr>
                <w:rFonts w:ascii="Tahoma" w:hAnsi="Tahoma" w:cs="Tahoma"/>
                <w:i/>
                <w:iCs/>
                <w:sz w:val="28"/>
                <w:szCs w:val="28"/>
              </w:rPr>
              <w:t>TCLD_ERTR_FSAC0 – Storno/Annullamento cedolino</w:t>
            </w:r>
            <w:r>
              <w:rPr>
                <w:rFonts w:ascii="Tahoma" w:hAnsi="Tahoma" w:cs="Tahoma"/>
                <w:sz w:val="28"/>
                <w:szCs w:val="28"/>
              </w:rPr>
              <w:t>” e “</w:t>
            </w:r>
            <w:r>
              <w:rPr>
                <w:rFonts w:ascii="Tahoma" w:hAnsi="Tahoma" w:cs="Tahoma"/>
                <w:i/>
                <w:iCs/>
                <w:sz w:val="28"/>
                <w:szCs w:val="28"/>
              </w:rPr>
              <w:t>TCLD_ERTR_FVCPA Verifica del circuito di pagamento dell’amministrazione”)</w:t>
            </w:r>
          </w:p>
          <w:p w:rsidR="005538F6" w:rsidRDefault="005538F6" w:rsidP="005538F6">
            <w:pPr>
              <w:pStyle w:val="NormaleWeb"/>
              <w:spacing w:before="60" w:beforeAutospacing="0" w:after="60" w:afterAutospacing="0"/>
              <w:ind w:left="720" w:hanging="360"/>
              <w:jc w:val="both"/>
            </w:pPr>
            <w:r>
              <w:rPr>
                <w:rFonts w:ascii="Georgia" w:hAnsi="Georgia"/>
                <w:color w:val="000000"/>
                <w:sz w:val="28"/>
                <w:szCs w:val="28"/>
              </w:rPr>
              <w:t>2.</w:t>
            </w:r>
            <w:r>
              <w:rPr>
                <w:color w:val="000000"/>
                <w:sz w:val="14"/>
                <w:szCs w:val="14"/>
              </w:rPr>
              <w:t xml:space="preserve">     </w:t>
            </w:r>
            <w:r>
              <w:rPr>
                <w:rFonts w:ascii="Tahoma" w:hAnsi="Tahoma" w:cs="Tahoma"/>
                <w:color w:val="000000"/>
                <w:sz w:val="28"/>
                <w:szCs w:val="28"/>
              </w:rPr>
              <w:t>Per gli Enti Locali, secondo la normativa vigente sopraesposta, l’elemento di imputazione contabile del bilancio finanziario è il capitolo/articolo.</w:t>
            </w:r>
          </w:p>
          <w:p w:rsidR="005538F6" w:rsidRDefault="005538F6" w:rsidP="005538F6">
            <w:pPr>
              <w:pStyle w:val="NormaleWeb"/>
              <w:spacing w:before="60" w:beforeAutospacing="0" w:after="60" w:afterAutospacing="0"/>
              <w:ind w:left="720" w:hanging="360"/>
              <w:jc w:val="both"/>
            </w:pPr>
            <w:r>
              <w:rPr>
                <w:rFonts w:ascii="Georgia" w:hAnsi="Georgia"/>
                <w:color w:val="000000"/>
                <w:sz w:val="28"/>
                <w:szCs w:val="28"/>
              </w:rPr>
              <w:t>3.</w:t>
            </w:r>
            <w:r>
              <w:rPr>
                <w:color w:val="000000"/>
                <w:sz w:val="14"/>
                <w:szCs w:val="14"/>
              </w:rPr>
              <w:t xml:space="preserve">     </w:t>
            </w:r>
            <w:r>
              <w:rPr>
                <w:rFonts w:ascii="Tahoma" w:hAnsi="Tahoma" w:cs="Tahoma"/>
                <w:color w:val="000000"/>
                <w:sz w:val="28"/>
                <w:szCs w:val="28"/>
              </w:rPr>
              <w:t>Per la contabilità economico-patrimoniale (o generale), l’elemento di imputazione contabile è l’ultimo elemento del piano dei conti di riferimento, che può essere strutturato gerarchicamente in “n” livelli”. Poiché da normativa è richiesto di affiancare alla contabilità finanziaria l’aspetto economico-patrimoniale, gli Enti Locali sono tenuti anche all’ imputazione della spesa ad un piano dei conti integrato.</w:t>
            </w:r>
          </w:p>
          <w:p w:rsidR="005538F6" w:rsidRDefault="005538F6" w:rsidP="005538F6">
            <w:pPr>
              <w:pStyle w:val="NormaleWeb"/>
              <w:spacing w:before="60" w:beforeAutospacing="0" w:after="60" w:afterAutospacing="0"/>
              <w:ind w:left="720" w:hanging="360"/>
              <w:jc w:val="both"/>
            </w:pPr>
            <w:r>
              <w:rPr>
                <w:rFonts w:ascii="Georgia" w:hAnsi="Georgia"/>
                <w:color w:val="000000"/>
                <w:sz w:val="28"/>
                <w:szCs w:val="28"/>
              </w:rPr>
              <w:t>4.</w:t>
            </w:r>
            <w:r>
              <w:rPr>
                <w:color w:val="000000"/>
                <w:sz w:val="14"/>
                <w:szCs w:val="14"/>
              </w:rPr>
              <w:t xml:space="preserve">    </w:t>
            </w:r>
            <w:r>
              <w:rPr>
                <w:rFonts w:ascii="Tahoma" w:hAnsi="Tahoma" w:cs="Tahoma"/>
                <w:color w:val="000000"/>
                <w:sz w:val="28"/>
                <w:szCs w:val="28"/>
              </w:rPr>
              <w:t>Per la contabilità analitica, l’elemento di imputazione contabile è il “Centro di costo” (come configurato nella feature “</w:t>
            </w:r>
            <w:r>
              <w:rPr>
                <w:rFonts w:ascii="Tahoma" w:hAnsi="Tahoma" w:cs="Tahoma"/>
                <w:i/>
                <w:iCs/>
                <w:color w:val="000000"/>
                <w:sz w:val="28"/>
                <w:szCs w:val="28"/>
              </w:rPr>
              <w:t>TCLD_ECNF_FCCC0 – Configurazione centri di costo</w:t>
            </w:r>
            <w:r>
              <w:rPr>
                <w:rFonts w:ascii="Tahoma" w:hAnsi="Tahoma" w:cs="Tahoma"/>
                <w:color w:val="000000"/>
                <w:sz w:val="28"/>
                <w:szCs w:val="28"/>
              </w:rPr>
              <w:t>”) e, ove presenti, i relativi fattori produttivi (come configurato nella feature “</w:t>
            </w:r>
            <w:r>
              <w:rPr>
                <w:rFonts w:ascii="Tahoma" w:hAnsi="Tahoma" w:cs="Tahoma"/>
                <w:i/>
                <w:iCs/>
                <w:color w:val="000000"/>
                <w:sz w:val="28"/>
                <w:szCs w:val="28"/>
              </w:rPr>
              <w:t>TCLD_ECNF_FCFP0 - Configurazione fattori produttivi”</w:t>
            </w:r>
            <w:r>
              <w:rPr>
                <w:rFonts w:ascii="Tahoma" w:hAnsi="Tahoma" w:cs="Tahoma"/>
                <w:color w:val="000000"/>
                <w:sz w:val="28"/>
                <w:szCs w:val="28"/>
              </w:rPr>
              <w:t>).</w:t>
            </w:r>
          </w:p>
          <w:p w:rsidR="005538F6" w:rsidRDefault="005538F6" w:rsidP="005538F6">
            <w:pPr>
              <w:pStyle w:val="NormaleWeb"/>
              <w:spacing w:before="60" w:beforeAutospacing="0" w:after="60" w:afterAutospacing="0"/>
              <w:jc w:val="both"/>
            </w:pPr>
            <w:r>
              <w:rPr>
                <w:rFonts w:ascii="Tahoma" w:hAnsi="Tahoma" w:cs="Tahoma"/>
                <w:color w:val="000000"/>
                <w:sz w:val="28"/>
                <w:szCs w:val="28"/>
              </w:rPr>
              <w:t> </w:t>
            </w:r>
          </w:p>
          <w:p w:rsidR="005538F6" w:rsidRDefault="005538F6" w:rsidP="005538F6">
            <w:pPr>
              <w:pStyle w:val="NormaleWeb"/>
              <w:spacing w:before="60" w:beforeAutospacing="0" w:after="60" w:afterAutospacing="0"/>
              <w:jc w:val="both"/>
            </w:pPr>
            <w:r>
              <w:rPr>
                <w:sz w:val="28"/>
                <w:szCs w:val="28"/>
              </w:rPr>
              <w:t> </w:t>
            </w:r>
          </w:p>
          <w:p w:rsidR="005538F6" w:rsidRDefault="005538F6" w:rsidP="005538F6">
            <w:pPr>
              <w:pStyle w:val="NormaleWeb"/>
              <w:spacing w:before="60" w:beforeAutospacing="0" w:after="60" w:afterAutospacing="0" w:line="254" w:lineRule="auto"/>
              <w:jc w:val="both"/>
            </w:pPr>
            <w:r>
              <w:rPr>
                <w:rFonts w:ascii="Tahoma" w:hAnsi="Tahoma" w:cs="Tahoma"/>
                <w:sz w:val="28"/>
                <w:szCs w:val="28"/>
              </w:rPr>
              <w:t> </w:t>
            </w:r>
          </w:p>
          <w:p w:rsidR="005538F6" w:rsidRDefault="005538F6" w:rsidP="005538F6">
            <w:pPr>
              <w:pStyle w:val="NormaleWeb"/>
              <w:spacing w:before="60" w:beforeAutospacing="0" w:after="60" w:afterAutospacing="0" w:line="254" w:lineRule="auto"/>
              <w:jc w:val="both"/>
            </w:pPr>
            <w:r>
              <w:rPr>
                <w:rFonts w:ascii="Tahoma" w:hAnsi="Tahoma" w:cs="Tahoma"/>
                <w:color w:val="000000"/>
                <w:sz w:val="28"/>
                <w:szCs w:val="28"/>
              </w:rPr>
              <w:t>Si allegano i flussi attuali per le amministrazioni in Bilancio e, a titolo esemplificativo, si riporta un esempio di contabilità economico-patrimoniale per gli enti del SSR Regione Lazio.</w:t>
            </w:r>
          </w:p>
          <w:p w:rsidR="005538F6" w:rsidRDefault="005538F6" w:rsidP="005538F6">
            <w:pPr>
              <w:pStyle w:val="NormaleWeb"/>
              <w:spacing w:before="60" w:beforeAutospacing="0" w:after="60" w:afterAutospacing="0"/>
              <w:jc w:val="both"/>
            </w:pPr>
          </w:p>
          <w:p w:rsidR="005538F6" w:rsidRDefault="005538F6" w:rsidP="005538F6">
            <w:pPr>
              <w:pStyle w:val="NormaleWeb"/>
              <w:spacing w:before="60" w:beforeAutospacing="0" w:after="60" w:afterAutospacing="0"/>
              <w:jc w:val="both"/>
            </w:pPr>
            <w:r>
              <w:rPr>
                <w:rFonts w:ascii="Tahoma" w:hAnsi="Tahoma" w:cs="Tahoma"/>
                <w:noProof/>
                <w:color w:val="000000"/>
                <w:sz w:val="16"/>
                <w:szCs w:val="16"/>
              </w:rPr>
              <w:lastRenderedPageBreak/>
              <w:drawing>
                <wp:inline distT="0" distB="0" distL="0" distR="0">
                  <wp:extent cx="11506200" cy="5495925"/>
                  <wp:effectExtent l="0" t="0" r="0" b="9525"/>
                  <wp:docPr id="4" name="Immagine 4" descr="http://tfsprod.mef.gov.it/tfs/Cloudify-NoiPA/WorkItemTracking/v1.0/AttachFileHandler.ashx?FileNameGuid=885bd5ff-7fa1-4330-aded-41d2404cc036&amp;FileName=5.%20Configurazione%20dei%20parametri%20contab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fsprod.mef.gov.it/tfs/Cloudify-NoiPA/WorkItemTracking/v1.0/AttachFileHandler.ashx?FileNameGuid=885bd5ff-7fa1-4330-aded-41d2404cc036&amp;FileName=5.%20Configurazione%20dei%20parametri%20contabili.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506200" cy="5495925"/>
                          </a:xfrm>
                          <a:prstGeom prst="rect">
                            <a:avLst/>
                          </a:prstGeom>
                          <a:noFill/>
                          <a:ln>
                            <a:noFill/>
                          </a:ln>
                        </pic:spPr>
                      </pic:pic>
                    </a:graphicData>
                  </a:graphic>
                </wp:inline>
              </w:drawing>
            </w:r>
          </w:p>
          <w:p w:rsidR="005538F6" w:rsidRDefault="005538F6" w:rsidP="005538F6">
            <w:pPr>
              <w:pStyle w:val="NormaleWeb"/>
              <w:spacing w:before="60" w:beforeAutospacing="0" w:after="60" w:afterAutospacing="0"/>
              <w:jc w:val="both"/>
            </w:pPr>
          </w:p>
          <w:p w:rsidR="005538F6" w:rsidRDefault="005538F6" w:rsidP="005538F6">
            <w:pPr>
              <w:pStyle w:val="NormaleWeb"/>
            </w:pPr>
            <w:r>
              <w:br/>
              <w:t>                                                                                                                                            </w:t>
            </w:r>
          </w:p>
          <w:permEnd w:id="680623363"/>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33356; 33357; 33358; 33359; 51674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419735059" w:edGrp="everyone"/>
      <w:permEnd w:id="1419735059"/>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4" w:name="w2t2108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480779936" w:edGrp="everyone"/>
            <w:r>
              <w:rPr>
                <w:rFonts w:ascii="Calibri" w:hAnsi="Calibri" w:cs="Calibri"/>
                <w:szCs w:val="26"/>
              </w:rPr>
              <w:t>TCLD_ECNF_FCECE</w:t>
            </w:r>
            <w:permEnd w:id="48077993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17" w:history="1">
              <w:r w:rsidRPr="005538F6">
                <w:rPr>
                  <w:rStyle w:val="Collegamentoipertestuale"/>
                  <w:rFonts w:ascii="Calibri" w:hAnsi="Calibri" w:cs="Calibri"/>
                  <w:szCs w:val="20"/>
                </w:rPr>
                <w:t>21089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18" w:history="1">
              <w:r w:rsidRPr="005538F6">
                <w:rPr>
                  <w:rStyle w:val="Collegamentoipertestuale"/>
                  <w:rFonts w:ascii="Calibri" w:hAnsi="Calibri" w:cs="Calibri"/>
                  <w:szCs w:val="20"/>
                </w:rPr>
                <w:t>127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47</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100</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4"/>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21089 - Configurazione e gestione elementi di classificazione economica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95507277" w:edGrp="everyone" w:displacedByCustomXml="next"/>
        <w:sdt>
          <w:sdtPr>
            <w:rPr>
              <w:rFonts w:ascii="Calibri" w:hAnsi="Calibri" w:cs="Calibri"/>
              <w:color w:val="000000" w:themeColor="text1"/>
              <w:szCs w:val="20"/>
            </w:rPr>
            <w:id w:val="159165540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09550727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5</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468677856" w:edGrp="everyone"/>
            <w:r>
              <w:rPr>
                <w:rFonts w:ascii="Calibri" w:hAnsi="Calibri" w:cs="Calibri"/>
                <w:b/>
                <w:sz w:val="26"/>
                <w:szCs w:val="26"/>
              </w:rPr>
              <w:t>Configurazione e gestione elementi di classificazione economica</w:t>
            </w:r>
            <w:permEnd w:id="1468677856"/>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2053930959" w:edGrp="everyone"/>
            <w:r>
              <w:rPr>
                <w:rFonts w:ascii="Tahoma" w:hAnsi="Tahoma" w:cs="Tahoma"/>
                <w:b/>
                <w:bCs/>
                <w:color w:val="000000"/>
                <w:sz w:val="22"/>
                <w:szCs w:val="22"/>
              </w:rPr>
              <w:t>Contesto di riferimento</w:t>
            </w:r>
          </w:p>
          <w:p w:rsidR="005538F6" w:rsidRDefault="005538F6" w:rsidP="005538F6">
            <w:pPr>
              <w:pStyle w:val="NormaleWeb"/>
              <w:spacing w:before="0" w:beforeAutospacing="0" w:after="160" w:afterAutospacing="0"/>
              <w:jc w:val="both"/>
            </w:pPr>
            <w:r>
              <w:rPr>
                <w:rFonts w:ascii="Tahoma" w:hAnsi="Tahoma" w:cs="Tahoma"/>
                <w:color w:val="000000"/>
                <w:sz w:val="22"/>
                <w:szCs w:val="22"/>
              </w:rPr>
              <w:t>In base al comma 3 dell’articolo 25 della legge 196/2009, le spese del bilancio dello Stato sono esposte, oltre che per missioni e programmi, anche secondo le tradizionali classificazioni economica e funzionale.</w:t>
            </w:r>
          </w:p>
          <w:p w:rsidR="005538F6" w:rsidRDefault="005538F6" w:rsidP="005538F6">
            <w:pPr>
              <w:pStyle w:val="NormaleWeb"/>
              <w:spacing w:before="60" w:beforeAutospacing="0" w:after="60" w:afterAutospacing="0"/>
              <w:jc w:val="both"/>
            </w:pPr>
            <w:r>
              <w:rPr>
                <w:rFonts w:ascii="Tahoma" w:hAnsi="Tahoma" w:cs="Tahoma"/>
                <w:color w:val="000000"/>
                <w:sz w:val="22"/>
                <w:szCs w:val="22"/>
              </w:rPr>
              <w:t>La classificazione adottata per rappresentare la natura economica della spesa del Bilancio dello Stato è conforme ai criteri adottati in sede di contabilità nazionale per i conti del settore delle amministrazioni pubbliche (Sec95). Con essa la spesa viene ripartita in Titoli e Categorie.</w:t>
            </w:r>
          </w:p>
          <w:p w:rsidR="005538F6" w:rsidRDefault="005538F6" w:rsidP="005538F6">
            <w:pPr>
              <w:pStyle w:val="NormaleWeb"/>
              <w:spacing w:before="0" w:beforeAutospacing="0" w:after="160" w:afterAutospacing="0"/>
              <w:jc w:val="both"/>
            </w:pPr>
            <w:r>
              <w:rPr>
                <w:rFonts w:ascii="Tahoma" w:hAnsi="Tahoma" w:cs="Tahoma"/>
                <w:color w:val="000000"/>
                <w:sz w:val="22"/>
                <w:szCs w:val="22"/>
              </w:rPr>
              <w:t>La classificazione economica delle spese, con espressa ripartizione in titoli tra spesa corrente, spesa in conto capitale e rimborso passività finanziarie, è altresì illustrata all’interno dei singoli stati di previsione, nell’apposito riepilogo delle dotazioni di ciascun programma secondo l'analisi economica, redatto ai sensi dell’articolo 21, comma 11, punto d), della legge n. 196/2009. Le categorie sono raggruppamenti di uscite aventi ad oggetto oneri di identico contenuto economico: ad esempio, per le spese correnti, distingue tra i redditi da lavoro dipendente, consumi intermedi, imposte pagate sulla produzione, trasferimenti correnti ad altri soggetti, etc. Nell’ambito delle categorie di spesa esistono ulteriori livelli di classificazione economica della spesa (ad es. Ce2, Ce3, Ce4, Ce5…).</w:t>
            </w:r>
          </w:p>
          <w:p w:rsidR="005538F6" w:rsidRDefault="005538F6" w:rsidP="005538F6">
            <w:pPr>
              <w:pStyle w:val="NormaleWeb"/>
              <w:spacing w:before="60" w:beforeAutospacing="0" w:after="60" w:afterAutospacing="0"/>
              <w:jc w:val="both"/>
            </w:pPr>
            <w:r>
              <w:rPr>
                <w:rFonts w:ascii="Tahoma" w:hAnsi="Tahoma" w:cs="Tahoma"/>
                <w:b/>
                <w:bCs/>
                <w:color w:val="000000"/>
                <w:sz w:val="22"/>
                <w:szCs w:val="22"/>
              </w:rPr>
              <w:t> </w:t>
            </w:r>
          </w:p>
          <w:p w:rsidR="005538F6" w:rsidRDefault="005538F6" w:rsidP="005538F6">
            <w:pPr>
              <w:pStyle w:val="NormaleWeb"/>
              <w:spacing w:before="0" w:beforeAutospacing="0" w:after="160" w:afterAutospacing="0"/>
              <w:jc w:val="both"/>
            </w:pPr>
            <w:r>
              <w:rPr>
                <w:rFonts w:ascii="Tahoma" w:hAnsi="Tahoma" w:cs="Tahoma"/>
                <w:color w:val="000000"/>
                <w:sz w:val="22"/>
                <w:szCs w:val="22"/>
              </w:rPr>
              <w:t>*****************************</w:t>
            </w:r>
          </w:p>
          <w:p w:rsidR="005538F6" w:rsidRDefault="005538F6" w:rsidP="005538F6">
            <w:pPr>
              <w:pStyle w:val="NormaleWeb"/>
              <w:spacing w:before="0" w:beforeAutospacing="0" w:after="60" w:afterAutospacing="0"/>
              <w:jc w:val="both"/>
            </w:pPr>
            <w:r>
              <w:rPr>
                <w:rFonts w:ascii="Tahoma" w:hAnsi="Tahoma" w:cs="Tahoma"/>
                <w:b/>
                <w:bCs/>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L’amministratore di sistema deve poter configurare i diversi elementi di classificazione economica della spesa da utilizzare nell’ambito della configurazione dei template contabili (vedi feature “</w:t>
            </w:r>
            <w:r>
              <w:rPr>
                <w:rFonts w:ascii="Tahoma" w:hAnsi="Tahoma" w:cs="Tahoma"/>
                <w:i/>
                <w:iCs/>
                <w:color w:val="000000"/>
                <w:sz w:val="22"/>
                <w:szCs w:val="22"/>
              </w:rPr>
              <w:t>TCLD_ECNF_FCTC0 - Configurazione template contabili</w:t>
            </w:r>
            <w:r>
              <w:rPr>
                <w:rFonts w:ascii="Tahoma" w:hAnsi="Tahoma" w:cs="Tahoma"/>
                <w:color w:val="000000"/>
                <w:sz w:val="22"/>
                <w:szCs w:val="22"/>
              </w:rPr>
              <w:t>”).</w:t>
            </w:r>
          </w:p>
          <w:p w:rsidR="005538F6" w:rsidRDefault="005538F6" w:rsidP="005538F6">
            <w:pPr>
              <w:pStyle w:val="NormaleWeb"/>
              <w:spacing w:before="60" w:beforeAutospacing="0" w:after="60" w:afterAutospacing="0"/>
              <w:jc w:val="both"/>
            </w:pPr>
            <w:r>
              <w:rPr>
                <w:rFonts w:ascii="Tahoma" w:hAnsi="Tahoma" w:cs="Tahoma"/>
                <w:color w:val="000000"/>
                <w:sz w:val="22"/>
                <w:szCs w:val="22"/>
              </w:rPr>
              <w:t>L’amministratore di sistema deve poter recepire l’anagrafica delle classificazioni economiche dei parametri di imputazione contabile, anche in maniera massiva e/o da fonte esterna (ad es. protocollo di colloquio integrato con sistemi terzi). Nel caso delle amministrazioni in bilancio, deve essere possibile recepire l’anagrafica anche durante la pre-apertura dell’anno contabile (vedi feature</w:t>
            </w:r>
            <w:r>
              <w:rPr>
                <w:color w:val="000000"/>
                <w:sz w:val="22"/>
                <w:szCs w:val="22"/>
              </w:rPr>
              <w:t xml:space="preserve"> “</w:t>
            </w:r>
            <w:r>
              <w:rPr>
                <w:rFonts w:ascii="Tahoma" w:hAnsi="Tahoma" w:cs="Tahoma"/>
                <w:i/>
                <w:iCs/>
                <w:color w:val="000000"/>
                <w:sz w:val="22"/>
                <w:szCs w:val="22"/>
              </w:rPr>
              <w:t>TCLD_EG15_FPACB - Predisposizione anno contabile per il Bilancio dello Stato</w:t>
            </w:r>
            <w:r>
              <w:rPr>
                <w:rFonts w:ascii="Tahoma" w:hAnsi="Tahoma" w:cs="Tahoma"/>
                <w:color w:val="000000"/>
                <w:sz w:val="22"/>
                <w:szCs w:val="22"/>
              </w:rPr>
              <w:t xml:space="preserve">”). </w:t>
            </w:r>
          </w:p>
          <w:p w:rsidR="005538F6" w:rsidRDefault="005538F6" w:rsidP="005538F6">
            <w:pPr>
              <w:pStyle w:val="NormaleWeb"/>
              <w:spacing w:before="60" w:beforeAutospacing="0" w:after="60" w:afterAutospacing="0"/>
              <w:jc w:val="both"/>
            </w:pPr>
            <w:r>
              <w:rPr>
                <w:rFonts w:ascii="Tahoma" w:hAnsi="Tahoma" w:cs="Tahoma"/>
                <w:color w:val="000000"/>
                <w:sz w:val="22"/>
                <w:szCs w:val="22"/>
              </w:rPr>
              <w:t>I dati minimali da inserire per la configurazione degli elementi di classificazione economica di spesa sono: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elemento di classificazione economica</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Descrizione elemento di classificazione economica</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In base all’attuale classificazione economica della spesa per il bilancio dello Stato, gli elementi da configurare durante lo startup del sistema possono essere: titoli, categorie, ce2, ce3, ce4, ce5, …, etc. </w:t>
            </w:r>
          </w:p>
          <w:p w:rsidR="005538F6" w:rsidRDefault="005538F6" w:rsidP="005538F6">
            <w:pPr>
              <w:pStyle w:val="NormaleWeb"/>
              <w:spacing w:before="60" w:beforeAutospacing="0" w:after="60" w:afterAutospacing="0"/>
              <w:jc w:val="both"/>
            </w:pPr>
            <w:r>
              <w:rPr>
                <w:rFonts w:ascii="Tahoma" w:hAnsi="Tahoma" w:cs="Tahoma"/>
                <w:color w:val="000000"/>
                <w:sz w:val="22"/>
                <w:szCs w:val="22"/>
              </w:rPr>
              <w:lastRenderedPageBreak/>
              <w:t xml:space="preserve">La classificazione economica è attualmente trasmessa nei flussi RGS (vedi attuali </w:t>
            </w:r>
            <w:r>
              <w:rPr>
                <w:rFonts w:ascii="Tahoma" w:hAnsi="Tahoma" w:cs="Tahoma"/>
                <w:b/>
                <w:bCs/>
                <w:color w:val="000000"/>
                <w:sz w:val="22"/>
                <w:szCs w:val="22"/>
              </w:rPr>
              <w:t>flusso “201 e 202”</w:t>
            </w:r>
            <w:r>
              <w:rPr>
                <w:rFonts w:ascii="Tahoma" w:hAnsi="Tahoma" w:cs="Tahoma"/>
                <w:color w:val="000000"/>
                <w:sz w:val="22"/>
                <w:szCs w:val="22"/>
              </w:rPr>
              <w:t>). In particolare i titoli e le categorie sono associati ai capitoli e di conseguenza sui piani gestionali vengono riportate le ulteriori classificazioni di livello inferiore (ce2,ce3,ce4,ce5,…,etc.).</w:t>
            </w:r>
          </w:p>
          <w:p w:rsidR="005538F6" w:rsidRDefault="005538F6" w:rsidP="005538F6">
            <w:pPr>
              <w:pStyle w:val="NormaleWeb"/>
              <w:spacing w:before="60" w:beforeAutospacing="0" w:after="60" w:afterAutospacing="0"/>
              <w:jc w:val="both"/>
            </w:pPr>
            <w:r>
              <w:rPr>
                <w:rFonts w:ascii="Tahoma" w:hAnsi="Tahoma" w:cs="Tahoma"/>
                <w:color w:val="000000"/>
                <w:sz w:val="22"/>
                <w:szCs w:val="22"/>
              </w:rPr>
              <w:t>Si allegano, inoltre, a titolo esemplificativo alcuni file riassuntivi dei titoli, delle categorie e delle classificazioni economiche di secondo e terzo livello, nonché un esempio di classificazione economica di Capitoli e PG.</w:t>
            </w:r>
          </w:p>
          <w:p w:rsidR="005538F6" w:rsidRDefault="005538F6" w:rsidP="005538F6">
            <w:pPr>
              <w:pStyle w:val="NormaleWeb"/>
              <w:spacing w:before="60" w:beforeAutospacing="0" w:after="60" w:afterAutospacing="0"/>
              <w:jc w:val="both"/>
            </w:pPr>
            <w:r>
              <w:rPr>
                <w:sz w:val="22"/>
                <w:szCs w:val="22"/>
              </w:rPr>
              <w:t> </w:t>
            </w:r>
          </w:p>
          <w:p w:rsidR="005538F6" w:rsidRDefault="005538F6" w:rsidP="005538F6">
            <w:pPr>
              <w:pStyle w:val="NormaleWeb"/>
              <w:spacing w:before="60" w:beforeAutospacing="0" w:after="60" w:afterAutospacing="0"/>
              <w:jc w:val="both"/>
            </w:pPr>
            <w:r>
              <w:rPr>
                <w:rFonts w:ascii="Tahoma" w:hAnsi="Tahoma" w:cs="Tahoma"/>
                <w:noProof/>
                <w:color w:val="000000"/>
                <w:sz w:val="16"/>
                <w:szCs w:val="16"/>
              </w:rPr>
              <w:drawing>
                <wp:inline distT="0" distB="0" distL="0" distR="0">
                  <wp:extent cx="11506200" cy="5495925"/>
                  <wp:effectExtent l="0" t="0" r="0" b="9525"/>
                  <wp:docPr id="5" name="Immagine 5" descr="http://tfsprod.mef.gov.it/tfs/Cloudify-NoiPA/WorkItemTracking/v1.0/AttachFileHandler.ashx?FileNameGuid=1bcdbaf4-067d-451f-aa25-3eb4232a5f97&amp;FileName=6.%20Configurazione%20elementi%20di%20classificazione%20economica%20di%20sp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fsprod.mef.gov.it/tfs/Cloudify-NoiPA/WorkItemTracking/v1.0/AttachFileHandler.ashx?FileNameGuid=1bcdbaf4-067d-451f-aa25-3eb4232a5f97&amp;FileName=6.%20Configurazione%20elementi%20di%20classificazione%20economica%20di%20spesa.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06200" cy="5495925"/>
                          </a:xfrm>
                          <a:prstGeom prst="rect">
                            <a:avLst/>
                          </a:prstGeom>
                          <a:noFill/>
                          <a:ln>
                            <a:noFill/>
                          </a:ln>
                        </pic:spPr>
                      </pic:pic>
                    </a:graphicData>
                  </a:graphic>
                </wp:inline>
              </w:drawing>
            </w:r>
          </w:p>
          <w:p w:rsidR="005538F6" w:rsidRDefault="005538F6" w:rsidP="005538F6">
            <w:pPr>
              <w:pStyle w:val="NormaleWeb"/>
            </w:pPr>
            <w:r>
              <w:br/>
              <w:t>                                                                                                                                            </w:t>
            </w:r>
          </w:p>
          <w:permEnd w:id="2053930959"/>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9</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37710; 37711; 37712; 37713; 51677; 67665; 67668; 67671; 67674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195265247" w:edGrp="everyone"/>
      <w:permEnd w:id="1195265247"/>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5" w:name="w2t2109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888032755" w:edGrp="everyone"/>
            <w:r>
              <w:rPr>
                <w:rFonts w:ascii="Calibri" w:hAnsi="Calibri" w:cs="Calibri"/>
                <w:szCs w:val="26"/>
              </w:rPr>
              <w:t>TCLD_ECNF_FCTC0</w:t>
            </w:r>
            <w:permEnd w:id="188803275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0" w:history="1">
              <w:r w:rsidRPr="005538F6">
                <w:rPr>
                  <w:rStyle w:val="Collegamentoipertestuale"/>
                  <w:rFonts w:ascii="Calibri" w:hAnsi="Calibri" w:cs="Calibri"/>
                  <w:szCs w:val="20"/>
                </w:rPr>
                <w:t>21091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1" w:history="1">
              <w:r w:rsidRPr="005538F6">
                <w:rPr>
                  <w:rStyle w:val="Collegamentoipertestuale"/>
                  <w:rFonts w:ascii="Calibri" w:hAnsi="Calibri" w:cs="Calibri"/>
                  <w:szCs w:val="20"/>
                </w:rPr>
                <w:t>136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55</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111</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5"/>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21091 - Configurazione template contabili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88236098" w:edGrp="everyone" w:displacedByCustomXml="next"/>
        <w:sdt>
          <w:sdtPr>
            <w:rPr>
              <w:rFonts w:ascii="Calibri" w:hAnsi="Calibri" w:cs="Calibri"/>
              <w:color w:val="000000" w:themeColor="text1"/>
              <w:szCs w:val="20"/>
            </w:rPr>
            <w:id w:val="44588993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38823609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918333435" w:edGrp="everyone"/>
            <w:r>
              <w:rPr>
                <w:rFonts w:ascii="Calibri" w:hAnsi="Calibri" w:cs="Calibri"/>
                <w:b/>
                <w:sz w:val="26"/>
                <w:szCs w:val="26"/>
              </w:rPr>
              <w:t>Configurazione template contabili</w:t>
            </w:r>
            <w:permEnd w:id="1918333435"/>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1731219673" w:edGrp="everyone"/>
            <w:r>
              <w:rPr>
                <w:rFonts w:ascii="Tahoma" w:hAnsi="Tahoma" w:cs="Tahoma"/>
                <w:color w:val="000000"/>
                <w:sz w:val="22"/>
                <w:szCs w:val="22"/>
              </w:rPr>
              <w:t>L’amministratore di sistema deve poter configurare da 1 a “n” template per ogni tipo di gestione contabile (come da feature “</w:t>
            </w:r>
            <w:r>
              <w:rPr>
                <w:rFonts w:ascii="Tahoma" w:hAnsi="Tahoma" w:cs="Tahoma"/>
                <w:i/>
                <w:iCs/>
                <w:color w:val="000000"/>
                <w:sz w:val="22"/>
                <w:szCs w:val="22"/>
              </w:rPr>
              <w:t>TCLD_ECNF_FCGC0 - Configurazione gestioni contabili</w:t>
            </w:r>
            <w:r>
              <w:rPr>
                <w:rFonts w:ascii="Tahoma" w:hAnsi="Tahoma" w:cs="Tahoma"/>
                <w:color w:val="000000"/>
                <w:sz w:val="22"/>
                <w:szCs w:val="22"/>
              </w:rPr>
              <w:t xml:space="preserve">”) e in base alle diverse specificità delle amministrazioni/comparti serviti. In particolare l’amministratore di sistema può specializzare template contabili anche in base al comparto/amministrazione di riferimento. L’amministratore di sistema deve poter configurare i template utilizzando i parametri contabili a disposizione, gestendo l’obbligatorietà dei parametri stessi e indicando l’eventuale struttura gerarchica relativa. </w:t>
            </w:r>
          </w:p>
          <w:p w:rsidR="005538F6" w:rsidRDefault="005538F6" w:rsidP="005538F6">
            <w:pPr>
              <w:pStyle w:val="NormaleWeb"/>
              <w:spacing w:before="60" w:beforeAutospacing="0" w:after="60" w:afterAutospacing="0"/>
              <w:jc w:val="both"/>
            </w:pPr>
            <w:r>
              <w:rPr>
                <w:rFonts w:ascii="Tahoma" w:hAnsi="Tahoma" w:cs="Tahoma"/>
                <w:color w:val="000000"/>
                <w:sz w:val="22"/>
                <w:szCs w:val="22"/>
              </w:rPr>
              <w:t>L’operatore autorizzato, avrà, quindi, a disposizione i template configurati dall'Amministratore di Sistema. Laddove non risulti presente una tipologia di template rispondente ad una specifica esigenza, potrà richiederne la configurazione all'amministratore di sistema.  </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La costruzione dei template e della gerarchia dei parametri deve essere possibile anche in modalità grafica, in coerenza con le logiche già adottate per analoghe esigenze di sistema. </w:t>
            </w:r>
          </w:p>
          <w:p w:rsidR="005538F6" w:rsidRDefault="005538F6" w:rsidP="005538F6">
            <w:pPr>
              <w:pStyle w:val="NormaleWeb"/>
              <w:spacing w:before="60" w:beforeAutospacing="0" w:after="60" w:afterAutospacing="0"/>
              <w:jc w:val="both"/>
            </w:pPr>
            <w:r>
              <w:rPr>
                <w:rFonts w:ascii="Tahoma" w:hAnsi="Tahoma" w:cs="Tahoma"/>
                <w:b/>
                <w:bCs/>
                <w:color w:val="000000"/>
                <w:sz w:val="22"/>
                <w:szCs w:val="22"/>
              </w:rPr>
              <w:t>Template di tipo standard (gestionale)</w:t>
            </w:r>
          </w:p>
          <w:p w:rsidR="005538F6" w:rsidRDefault="005538F6" w:rsidP="005538F6">
            <w:pPr>
              <w:pStyle w:val="NormaleWeb"/>
              <w:spacing w:before="60" w:beforeAutospacing="0" w:after="60" w:afterAutospacing="0"/>
              <w:jc w:val="both"/>
            </w:pPr>
            <w:r>
              <w:rPr>
                <w:rFonts w:ascii="Tahoma" w:hAnsi="Tahoma" w:cs="Tahoma"/>
                <w:color w:val="000000"/>
                <w:sz w:val="22"/>
                <w:szCs w:val="22"/>
              </w:rPr>
              <w:t>L’amministratore di sistema, in base a specifici accordi di carattere amministrativo, con istituzioni vigilanti e/o intermediari (ad es. RGS, Regioni, etc.), deve poter prevedere template “standard” da utilizzare in associazione alla contabilità di riferimento, valevole per una specifica amministrazione o per un insieme di esse (ad es. aziende sanitarie di una regione), completo degli specifici aggregatori contabili di riferimento (ad es. per il template contabile di tipo “economico-patrimoniale” deve essere possibile proporre/adottare centralmente un piano dei conti di riferimento della regione già valorizzato e i relativi aggregatori contabili, già predeterminati, di tipo “voci” e “caratteristiche anagrafiche amministrati” che determinano l’imputazione ai conti). Qualora, in base agli accordi sopracitati, il template sia standard, la conseguente rendicontazione potrà essere di tipo standard (ovvero convenuta come da accordi).</w:t>
            </w:r>
          </w:p>
          <w:p w:rsidR="005538F6" w:rsidRDefault="005538F6" w:rsidP="005538F6">
            <w:pPr>
              <w:pStyle w:val="NormaleWeb"/>
            </w:pPr>
            <w:r>
              <w:rPr>
                <w:rFonts w:ascii="Tahoma" w:hAnsi="Tahoma" w:cs="Tahoma"/>
                <w:color w:val="000000"/>
                <w:sz w:val="22"/>
                <w:szCs w:val="22"/>
              </w:rPr>
              <w:t>Per il template standard, il sistema deve mantenere la storicità delle variazioni e darne evidenza all’operatore.</w:t>
            </w:r>
          </w:p>
          <w:p w:rsidR="005538F6" w:rsidRDefault="005538F6" w:rsidP="005538F6">
            <w:pPr>
              <w:pStyle w:val="NormaleWeb"/>
            </w:pPr>
          </w:p>
          <w:p w:rsidR="005538F6" w:rsidRDefault="005538F6" w:rsidP="005538F6">
            <w:pPr>
              <w:pStyle w:val="NormaleWeb"/>
            </w:pPr>
            <w:r>
              <w:rPr>
                <w:rFonts w:ascii="Tahoma" w:hAnsi="Tahoma" w:cs="Tahoma"/>
                <w:color w:val="000000"/>
                <w:sz w:val="22"/>
                <w:szCs w:val="22"/>
              </w:rPr>
              <w:lastRenderedPageBreak/>
              <w:t>Di seguito si riporta la struttura di alcuni template:</w:t>
            </w:r>
          </w:p>
          <w:p w:rsidR="005538F6" w:rsidRDefault="005538F6" w:rsidP="005538F6">
            <w:pPr>
              <w:pStyle w:val="NormaleWeb"/>
            </w:pPr>
          </w:p>
          <w:p w:rsidR="005538F6" w:rsidRDefault="005538F6" w:rsidP="005538F6">
            <w:pPr>
              <w:pStyle w:val="NormaleWeb"/>
            </w:pPr>
          </w:p>
          <w:p w:rsidR="005538F6" w:rsidRDefault="005538F6" w:rsidP="005538F6">
            <w:pPr>
              <w:pStyle w:val="NormaleWeb"/>
              <w:rPr>
                <w:rFonts w:ascii="Tahoma" w:hAnsi="Tahoma" w:cs="Tahoma"/>
                <w:color w:val="000000"/>
                <w:sz w:val="22"/>
                <w:szCs w:val="22"/>
              </w:rPr>
            </w:pPr>
          </w:p>
          <w:p w:rsidR="005538F6" w:rsidRDefault="005538F6" w:rsidP="005538F6">
            <w:pPr>
              <w:pStyle w:val="NormaleWeb"/>
              <w:spacing w:before="60" w:beforeAutospacing="0" w:after="160" w:afterAutospacing="0" w:line="360" w:lineRule="atLeast"/>
              <w:jc w:val="both"/>
              <w:rPr>
                <w:rFonts w:ascii="Tahoma" w:hAnsi="Tahoma" w:cs="Tahoma"/>
                <w:color w:val="000000"/>
                <w:sz w:val="22"/>
                <w:szCs w:val="22"/>
              </w:rPr>
            </w:pPr>
            <w:r>
              <w:rPr>
                <w:rFonts w:ascii="Segoe UI" w:hAnsi="Segoe UI" w:cs="Segoe UI"/>
                <w:color w:val="222222"/>
                <w:sz w:val="18"/>
                <w:szCs w:val="18"/>
              </w:rPr>
              <w:t> </w:t>
            </w:r>
          </w:p>
          <w:p w:rsidR="005538F6" w:rsidRDefault="005538F6" w:rsidP="005538F6">
            <w:pPr>
              <w:pStyle w:val="NormaleWeb"/>
              <w:rPr>
                <w:rFonts w:ascii="Tahoma" w:hAnsi="Tahoma" w:cs="Tahoma"/>
                <w:color w:val="000000"/>
                <w:sz w:val="22"/>
                <w:szCs w:val="22"/>
              </w:rPr>
            </w:pPr>
          </w:p>
          <w:p w:rsidR="005538F6" w:rsidRDefault="005538F6" w:rsidP="005538F6">
            <w:pPr>
              <w:pStyle w:val="NormaleWeb"/>
              <w:spacing w:before="60" w:beforeAutospacing="0" w:after="160" w:afterAutospacing="0" w:line="360" w:lineRule="atLeast"/>
              <w:jc w:val="both"/>
              <w:rPr>
                <w:rFonts w:ascii="Tahoma" w:hAnsi="Tahoma" w:cs="Tahoma"/>
                <w:color w:val="000000"/>
                <w:sz w:val="22"/>
                <w:szCs w:val="22"/>
              </w:rPr>
            </w:pPr>
            <w:r>
              <w:rPr>
                <w:rFonts w:ascii="Tahoma" w:hAnsi="Tahoma" w:cs="Tahoma"/>
                <w:b/>
                <w:bCs/>
                <w:color w:val="000000"/>
                <w:sz w:val="22"/>
                <w:szCs w:val="22"/>
              </w:rPr>
              <w:t>Template contabile di tipo Economico-patrimoniale</w:t>
            </w:r>
          </w:p>
          <w:p w:rsidR="005538F6" w:rsidRDefault="005538F6" w:rsidP="005538F6">
            <w:pPr>
              <w:pStyle w:val="NormaleWeb"/>
              <w:rPr>
                <w:rFonts w:ascii="Tahoma" w:hAnsi="Tahoma" w:cs="Tahoma"/>
                <w:color w:val="000000"/>
                <w:sz w:val="22"/>
                <w:szCs w:val="22"/>
              </w:rPr>
            </w:pP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222222"/>
              </w:rPr>
              <w:t>Codice parametro contabile</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222222"/>
              </w:rPr>
              <w:t>Descrizione del parametro contabile</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Codice parametro  padre(opzionale)</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Descrizione parametro padre (opzionale)</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Tipo parametro contabile (ricavo, costo, ecc.)</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Natura parametro (economico, patrimoniale)</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Sezione (Dare, Avere)</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Elemento di imputazione contabile (si/no)</w:t>
            </w:r>
          </w:p>
          <w:p w:rsidR="005538F6" w:rsidRDefault="005538F6" w:rsidP="005538F6">
            <w:pPr>
              <w:numPr>
                <w:ilvl w:val="0"/>
                <w:numId w:val="1"/>
              </w:numPr>
              <w:spacing w:before="60" w:line="360" w:lineRule="atLeast"/>
              <w:jc w:val="both"/>
              <w:rPr>
                <w:rFonts w:ascii="Tahoma" w:hAnsi="Tahoma" w:cs="Tahoma"/>
                <w:color w:val="000000"/>
              </w:rPr>
            </w:pPr>
            <w:r>
              <w:rPr>
                <w:rFonts w:ascii="Tahoma" w:hAnsi="Tahoma" w:cs="Tahoma"/>
                <w:color w:val="000000"/>
              </w:rPr>
              <w:t>Codifica contabile (può contenere il codice dell’elemento contabile adottato da ogni singola Amministrazione; campo vuoto a disposizione dell’amministrazione durante la valorizzazione dell’impianto contabile)</w:t>
            </w:r>
          </w:p>
          <w:p w:rsidR="005538F6" w:rsidRDefault="005538F6" w:rsidP="005538F6">
            <w:pPr>
              <w:numPr>
                <w:ilvl w:val="0"/>
                <w:numId w:val="1"/>
              </w:numPr>
              <w:spacing w:before="100" w:beforeAutospacing="1" w:after="100" w:afterAutospacing="1"/>
              <w:rPr>
                <w:rFonts w:ascii="Tahoma" w:hAnsi="Tahoma" w:cs="Tahoma"/>
                <w:color w:val="000000"/>
              </w:rPr>
            </w:pPr>
            <w:r>
              <w:rPr>
                <w:rFonts w:ascii="Tahoma" w:hAnsi="Tahoma" w:cs="Tahoma"/>
                <w:color w:val="000000"/>
              </w:rPr>
              <w:t>Descrizione parametro contabile (descrizione propria dell’elemento, quello usato per la valorizzazione)</w:t>
            </w:r>
          </w:p>
          <w:p w:rsidR="005538F6" w:rsidRDefault="005538F6" w:rsidP="005538F6">
            <w:pPr>
              <w:numPr>
                <w:ilvl w:val="0"/>
                <w:numId w:val="1"/>
              </w:numPr>
              <w:spacing w:before="60" w:after="160" w:line="360" w:lineRule="atLeast"/>
              <w:jc w:val="both"/>
              <w:rPr>
                <w:rFonts w:ascii="Tahoma" w:hAnsi="Tahoma" w:cs="Tahoma"/>
                <w:color w:val="000000"/>
              </w:rPr>
            </w:pPr>
            <w:r>
              <w:rPr>
                <w:rFonts w:ascii="Tahoma" w:hAnsi="Tahoma" w:cs="Tahoma"/>
                <w:color w:val="000000"/>
              </w:rPr>
              <w:t>Stanziamento (si/no)</w:t>
            </w:r>
          </w:p>
          <w:p w:rsidR="005538F6" w:rsidRDefault="005538F6" w:rsidP="005538F6">
            <w:pPr>
              <w:pStyle w:val="NormaleWeb"/>
              <w:rPr>
                <w:rFonts w:ascii="Tahoma" w:hAnsi="Tahoma" w:cs="Tahoma"/>
                <w:color w:val="000000"/>
                <w:sz w:val="22"/>
                <w:szCs w:val="22"/>
              </w:rPr>
            </w:pPr>
          </w:p>
          <w:p w:rsidR="005538F6" w:rsidRDefault="005538F6" w:rsidP="005538F6">
            <w:pPr>
              <w:pStyle w:val="NormaleWeb"/>
              <w:spacing w:before="60" w:beforeAutospacing="0" w:after="160" w:afterAutospacing="0" w:line="360" w:lineRule="atLeast"/>
              <w:jc w:val="both"/>
              <w:rPr>
                <w:rFonts w:ascii="Tahoma" w:hAnsi="Tahoma" w:cs="Tahoma"/>
                <w:color w:val="000000"/>
                <w:sz w:val="22"/>
                <w:szCs w:val="22"/>
              </w:rPr>
            </w:pPr>
            <w:r>
              <w:rPr>
                <w:rFonts w:ascii="Tahoma" w:hAnsi="Tahoma" w:cs="Tahoma"/>
                <w:b/>
                <w:bCs/>
                <w:color w:val="000000"/>
                <w:sz w:val="22"/>
                <w:szCs w:val="22"/>
              </w:rPr>
              <w:t>Template contabile di tipo Analitico</w:t>
            </w:r>
          </w:p>
          <w:p w:rsidR="005538F6" w:rsidRDefault="005538F6" w:rsidP="005538F6">
            <w:pPr>
              <w:pStyle w:val="NormaleWeb"/>
              <w:rPr>
                <w:rFonts w:ascii="Tahoma" w:hAnsi="Tahoma" w:cs="Tahoma"/>
                <w:color w:val="000000"/>
                <w:sz w:val="22"/>
                <w:szCs w:val="22"/>
              </w:rPr>
            </w:pP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222222"/>
              </w:rPr>
              <w:t>Codice parametro contabile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222222"/>
              </w:rPr>
              <w:t>Descrizione del parametro contabile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Codice parametro  padre (opzionale)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lastRenderedPageBreak/>
              <w:t>Descrizione parametro padre (opzionale)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Tipo parametro contabile (ricavo, costo)</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Natura parametro (economico, patrimoniale)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Sezione (Dare, Avere)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Elemento di imputazione contabile (si/no)</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Codifica contabile (può contenere il codice dell’elemento contabile adottato da ogni singola Amministrazione; campo vuoto a disposizione dell’amministrazione durante la valorizzazione dell’impianto contabile)</w:t>
            </w:r>
          </w:p>
          <w:p w:rsidR="005538F6" w:rsidRDefault="005538F6" w:rsidP="005538F6">
            <w:pPr>
              <w:numPr>
                <w:ilvl w:val="0"/>
                <w:numId w:val="2"/>
              </w:numPr>
              <w:spacing w:before="60" w:line="360" w:lineRule="atLeast"/>
              <w:jc w:val="both"/>
              <w:rPr>
                <w:rFonts w:ascii="Tahoma" w:hAnsi="Tahoma" w:cs="Tahoma"/>
                <w:color w:val="000000"/>
              </w:rPr>
            </w:pPr>
            <w:r>
              <w:rPr>
                <w:rFonts w:ascii="Tahoma" w:hAnsi="Tahoma" w:cs="Tahoma"/>
                <w:color w:val="000000"/>
              </w:rPr>
              <w:t>Descrizione parametro contabile (descrizione propria dell’elemento, quello usato per la valorizzazione)</w:t>
            </w:r>
          </w:p>
          <w:p w:rsidR="005538F6" w:rsidRDefault="005538F6" w:rsidP="005538F6">
            <w:pPr>
              <w:numPr>
                <w:ilvl w:val="0"/>
                <w:numId w:val="2"/>
              </w:numPr>
              <w:spacing w:before="60" w:after="160" w:line="360" w:lineRule="atLeast"/>
              <w:jc w:val="both"/>
              <w:rPr>
                <w:rFonts w:ascii="Tahoma" w:hAnsi="Tahoma" w:cs="Tahoma"/>
                <w:color w:val="000000"/>
              </w:rPr>
            </w:pPr>
            <w:r>
              <w:rPr>
                <w:rFonts w:ascii="Tahoma" w:hAnsi="Tahoma" w:cs="Tahoma"/>
                <w:color w:val="000000"/>
              </w:rPr>
              <w:t>Stanziamento (si/no)</w:t>
            </w:r>
          </w:p>
          <w:p w:rsidR="005538F6" w:rsidRDefault="005538F6" w:rsidP="005538F6">
            <w:pPr>
              <w:pStyle w:val="NormaleWeb"/>
              <w:rPr>
                <w:rFonts w:ascii="Tahoma" w:hAnsi="Tahoma" w:cs="Tahoma"/>
                <w:color w:val="000000"/>
                <w:sz w:val="22"/>
                <w:szCs w:val="22"/>
              </w:rPr>
            </w:pPr>
          </w:p>
          <w:p w:rsidR="005538F6" w:rsidRDefault="005538F6" w:rsidP="005538F6">
            <w:pPr>
              <w:pStyle w:val="NormaleWeb"/>
              <w:spacing w:before="60" w:beforeAutospacing="0" w:after="160" w:afterAutospacing="0" w:line="360" w:lineRule="atLeast"/>
              <w:jc w:val="both"/>
              <w:rPr>
                <w:rFonts w:ascii="Tahoma" w:hAnsi="Tahoma" w:cs="Tahoma"/>
                <w:color w:val="000000"/>
                <w:sz w:val="22"/>
                <w:szCs w:val="22"/>
              </w:rPr>
            </w:pPr>
            <w:r>
              <w:rPr>
                <w:rFonts w:ascii="Tahoma" w:hAnsi="Tahoma" w:cs="Tahoma"/>
                <w:b/>
                <w:bCs/>
                <w:color w:val="000000"/>
                <w:sz w:val="22"/>
                <w:szCs w:val="22"/>
              </w:rPr>
              <w:t>Template contabile di tipo Finanziario</w:t>
            </w:r>
          </w:p>
          <w:p w:rsidR="005538F6" w:rsidRDefault="005538F6" w:rsidP="005538F6">
            <w:pPr>
              <w:pStyle w:val="NormaleWeb"/>
              <w:rPr>
                <w:rFonts w:ascii="Tahoma" w:hAnsi="Tahoma" w:cs="Tahoma"/>
                <w:color w:val="000000"/>
                <w:sz w:val="22"/>
                <w:szCs w:val="22"/>
              </w:rPr>
            </w:pPr>
          </w:p>
          <w:p w:rsidR="005538F6" w:rsidRDefault="005538F6" w:rsidP="005538F6">
            <w:pPr>
              <w:numPr>
                <w:ilvl w:val="0"/>
                <w:numId w:val="3"/>
              </w:numPr>
              <w:spacing w:before="100" w:beforeAutospacing="1" w:after="100" w:afterAutospacing="1" w:line="360" w:lineRule="atLeast"/>
              <w:jc w:val="both"/>
              <w:rPr>
                <w:rFonts w:ascii="Tahoma" w:hAnsi="Tahoma" w:cs="Tahoma"/>
                <w:color w:val="000000"/>
              </w:rPr>
            </w:pPr>
            <w:r>
              <w:rPr>
                <w:rFonts w:ascii="Tahoma" w:hAnsi="Tahoma" w:cs="Tahoma"/>
                <w:color w:val="222222"/>
              </w:rPr>
              <w:t>Codice parametro contabile</w:t>
            </w:r>
          </w:p>
          <w:p w:rsidR="005538F6" w:rsidRDefault="005538F6" w:rsidP="005538F6">
            <w:pPr>
              <w:numPr>
                <w:ilvl w:val="0"/>
                <w:numId w:val="3"/>
              </w:numPr>
              <w:spacing w:before="100" w:beforeAutospacing="1" w:after="100" w:afterAutospacing="1" w:line="360" w:lineRule="atLeast"/>
              <w:jc w:val="both"/>
              <w:rPr>
                <w:rFonts w:ascii="Tahoma" w:hAnsi="Tahoma" w:cs="Tahoma"/>
                <w:color w:val="000000"/>
              </w:rPr>
            </w:pPr>
            <w:r>
              <w:rPr>
                <w:rFonts w:ascii="Tahoma" w:hAnsi="Tahoma" w:cs="Tahoma"/>
                <w:color w:val="222222"/>
              </w:rPr>
              <w:t>Descrizione del parametro contabile</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000000"/>
              </w:rPr>
              <w:t>Codice parametro     padre (opzionale)</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222222"/>
              </w:rPr>
              <w:t>Descrizione del parametro padre (opzionale)</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000000"/>
              </w:rPr>
              <w:t>Tipo parametro contabile (Entrata, Uscita)</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000000"/>
              </w:rPr>
              <w:t>Elemento di imputazione contabile (si/no)</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000000"/>
              </w:rPr>
              <w:t>Codifica contabile (può contenere il codice dell’elemento contabile adottato da ogni singola Amministrazione; campo vuoto a disposizione dell’amministrazione durante la valorizzazione dell’impianto contabile)</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000000"/>
              </w:rPr>
              <w:t>Descrizione parametro contabile (descrizione propria dell’elemento, quello usato per la valorizzazione)</w:t>
            </w:r>
          </w:p>
          <w:p w:rsidR="005538F6" w:rsidRDefault="005538F6" w:rsidP="005538F6">
            <w:pPr>
              <w:numPr>
                <w:ilvl w:val="0"/>
                <w:numId w:val="3"/>
              </w:numPr>
              <w:spacing w:before="60" w:line="360" w:lineRule="atLeast"/>
              <w:jc w:val="both"/>
              <w:rPr>
                <w:rFonts w:ascii="Tahoma" w:hAnsi="Tahoma" w:cs="Tahoma"/>
                <w:color w:val="000000"/>
              </w:rPr>
            </w:pPr>
            <w:r>
              <w:rPr>
                <w:rFonts w:ascii="Tahoma" w:hAnsi="Tahoma" w:cs="Tahoma"/>
                <w:color w:val="000000"/>
              </w:rPr>
              <w:t>Stanziamento (sì/no)</w:t>
            </w:r>
          </w:p>
          <w:p w:rsidR="005538F6" w:rsidRDefault="005538F6" w:rsidP="005538F6">
            <w:pPr>
              <w:pStyle w:val="NormaleWeb"/>
              <w:rPr>
                <w:rFonts w:ascii="Tahoma" w:hAnsi="Tahoma" w:cs="Tahoma"/>
                <w:color w:val="000000"/>
                <w:sz w:val="22"/>
                <w:szCs w:val="22"/>
              </w:rPr>
            </w:pPr>
          </w:p>
          <w:p w:rsidR="005538F6" w:rsidRDefault="005538F6" w:rsidP="005538F6">
            <w:pPr>
              <w:pStyle w:val="NormaleWeb"/>
              <w:spacing w:before="0" w:beforeAutospacing="0" w:after="160" w:afterAutospacing="0"/>
              <w:ind w:left="142"/>
              <w:rPr>
                <w:rFonts w:ascii="Tahoma" w:hAnsi="Tahoma" w:cs="Tahoma"/>
                <w:color w:val="000000"/>
                <w:sz w:val="22"/>
                <w:szCs w:val="22"/>
              </w:rPr>
            </w:pPr>
            <w:r>
              <w:rPr>
                <w:rFonts w:ascii="Tahoma" w:hAnsi="Tahoma" w:cs="Tahoma"/>
                <w:color w:val="000000"/>
                <w:sz w:val="22"/>
                <w:szCs w:val="22"/>
              </w:rPr>
              <w:t>Si precisa che i template contabili di tipo finanziario possono essere configurati sia con parametri contabili del tipo "missione/programma/azione/capitolo/articolo/etc." sia con parametri contabili del tipo "conto finanziario" (entrata o uscita) al fine di consentire il raccordo richiesto dalla normativa (minimo al 4° livello).</w:t>
            </w:r>
          </w:p>
          <w:p w:rsidR="005538F6" w:rsidRDefault="005538F6" w:rsidP="005538F6">
            <w:pPr>
              <w:pStyle w:val="NormaleWeb"/>
              <w:rPr>
                <w:rFonts w:ascii="Tahoma" w:hAnsi="Tahoma" w:cs="Tahoma"/>
                <w:color w:val="000000"/>
                <w:sz w:val="22"/>
                <w:szCs w:val="22"/>
              </w:rPr>
            </w:pPr>
          </w:p>
          <w:p w:rsidR="005538F6" w:rsidRDefault="005538F6" w:rsidP="005538F6">
            <w:pPr>
              <w:pStyle w:val="NormaleWeb"/>
              <w:spacing w:before="60" w:beforeAutospacing="0" w:after="160" w:afterAutospacing="0" w:line="360" w:lineRule="atLeast"/>
              <w:jc w:val="both"/>
              <w:rPr>
                <w:rFonts w:ascii="Tahoma" w:hAnsi="Tahoma" w:cs="Tahoma"/>
                <w:color w:val="000000"/>
                <w:sz w:val="22"/>
                <w:szCs w:val="22"/>
              </w:rPr>
            </w:pPr>
            <w:r>
              <w:rPr>
                <w:rStyle w:val="Enfasigrassetto"/>
                <w:rFonts w:ascii="Tahoma" w:hAnsi="Tahoma" w:cs="Tahoma"/>
                <w:color w:val="000000"/>
                <w:sz w:val="22"/>
                <w:szCs w:val="22"/>
              </w:rPr>
              <w:lastRenderedPageBreak/>
              <w:t>Template</w:t>
            </w:r>
            <w:r>
              <w:rPr>
                <w:rFonts w:ascii="Tahoma" w:hAnsi="Tahoma" w:cs="Tahoma"/>
                <w:color w:val="000000"/>
                <w:sz w:val="22"/>
                <w:szCs w:val="22"/>
              </w:rPr>
              <w:t xml:space="preserve"> </w:t>
            </w:r>
            <w:r>
              <w:rPr>
                <w:rFonts w:ascii="Tahoma" w:hAnsi="Tahoma" w:cs="Tahoma"/>
                <w:b/>
                <w:bCs/>
                <w:color w:val="000000"/>
                <w:sz w:val="22"/>
                <w:szCs w:val="22"/>
              </w:rPr>
              <w:t xml:space="preserve">contabile di tipo Fondi, </w:t>
            </w:r>
            <w:r>
              <w:rPr>
                <w:rFonts w:ascii="Tahoma" w:hAnsi="Tahoma" w:cs="Tahoma"/>
                <w:color w:val="000000"/>
                <w:sz w:val="22"/>
                <w:szCs w:val="22"/>
              </w:rPr>
              <w:t>come descritto nella Feature</w:t>
            </w:r>
            <w:r>
              <w:rPr>
                <w:rFonts w:ascii="Tahoma" w:hAnsi="Tahoma" w:cs="Tahoma"/>
                <w:b/>
                <w:bCs/>
                <w:color w:val="000000"/>
                <w:sz w:val="22"/>
                <w:szCs w:val="22"/>
              </w:rPr>
              <w:t xml:space="preserve"> “</w:t>
            </w:r>
            <w:r>
              <w:rPr>
                <w:rFonts w:ascii="Tahoma" w:hAnsi="Tahoma" w:cs="Tahoma"/>
                <w:i/>
                <w:iCs/>
                <w:color w:val="000000"/>
                <w:sz w:val="22"/>
                <w:szCs w:val="22"/>
              </w:rPr>
              <w:t>TCLD_ECNF_FCFA0 - Configurazione fondi aziendali</w:t>
            </w:r>
            <w:r>
              <w:rPr>
                <w:rFonts w:ascii="Tahoma" w:hAnsi="Tahoma" w:cs="Tahoma"/>
                <w:color w:val="000000"/>
                <w:sz w:val="22"/>
                <w:szCs w:val="22"/>
              </w:rPr>
              <w:t>”.</w:t>
            </w:r>
          </w:p>
          <w:p w:rsidR="005538F6" w:rsidRDefault="005538F6" w:rsidP="005538F6">
            <w:pPr>
              <w:pStyle w:val="NormaleWeb"/>
              <w:rPr>
                <w:rFonts w:ascii="Tahoma" w:hAnsi="Tahoma" w:cs="Tahoma"/>
                <w:color w:val="000000"/>
                <w:sz w:val="22"/>
                <w:szCs w:val="22"/>
              </w:rPr>
            </w:pPr>
          </w:p>
          <w:p w:rsidR="005538F6" w:rsidRDefault="005538F6" w:rsidP="005538F6">
            <w:pPr>
              <w:rPr>
                <w:rFonts w:ascii="Times New Roman" w:hAnsi="Times New Roman" w:cs="Times New Roman"/>
                <w:sz w:val="24"/>
                <w:szCs w:val="24"/>
              </w:rPr>
            </w:pPr>
            <w:r>
              <w:rPr>
                <w:rFonts w:ascii="Tahoma" w:hAnsi="Tahoma" w:cs="Tahoma"/>
                <w:color w:val="000000"/>
              </w:rPr>
              <w:t>L'indicazione di elemento di imputazione contabile "sì" è ammessa solo per parametri configurati come possibili elementi di imputazione contabile come previsto nella Feature "</w:t>
            </w:r>
            <w:r>
              <w:rPr>
                <w:rFonts w:ascii="Tahoma" w:hAnsi="Tahoma" w:cs="Tahoma"/>
                <w:i/>
                <w:iCs/>
                <w:color w:val="000000"/>
              </w:rPr>
              <w:t>TCLD_ECNF_FCPC0- Configurazione parametri contabili".</w:t>
            </w: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r>
              <w:rPr>
                <w:rFonts w:ascii="Tahoma" w:hAnsi="Tahoma" w:cs="Tahoma"/>
                <w:noProof/>
                <w:color w:val="000000"/>
                <w:sz w:val="16"/>
                <w:szCs w:val="16"/>
              </w:rPr>
              <w:lastRenderedPageBreak/>
              <w:drawing>
                <wp:inline distT="0" distB="0" distL="0" distR="0">
                  <wp:extent cx="15649575" cy="11020425"/>
                  <wp:effectExtent l="0" t="0" r="9525" b="9525"/>
                  <wp:docPr id="6" name="Immagine 6" descr="http://tfsprod.mef.gov.it/tfs/Cloudify-NoiPA/WorkItemTracking/v1.0/AttachFileHandler.ashx?FileNameGuid=b0bdf59e-a690-4aa7-98dd-50e1caa2a296&amp;FileName=8.%20Configurazione%20template%20contab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fsprod.mef.gov.it/tfs/Cloudify-NoiPA/WorkItemTracking/v1.0/AttachFileHandler.ashx?FileNameGuid=b0bdf59e-a690-4aa7-98dd-50e1caa2a296&amp;FileName=8.%20Configurazione%20template%20contabili.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649575" cy="11020425"/>
                          </a:xfrm>
                          <a:prstGeom prst="rect">
                            <a:avLst/>
                          </a:prstGeom>
                          <a:noFill/>
                          <a:ln>
                            <a:noFill/>
                          </a:ln>
                        </pic:spPr>
                      </pic:pic>
                    </a:graphicData>
                  </a:graphic>
                </wp:inline>
              </w:drawing>
            </w:r>
          </w:p>
          <w:p w:rsidR="005538F6" w:rsidRDefault="005538F6" w:rsidP="005538F6">
            <w:pPr>
              <w:pStyle w:val="NormaleWeb"/>
            </w:pPr>
          </w:p>
          <w:p w:rsidR="005538F6" w:rsidRDefault="005538F6" w:rsidP="005538F6">
            <w:pPr>
              <w:pStyle w:val="NormaleWeb"/>
            </w:pPr>
          </w:p>
          <w:p w:rsidR="005538F6" w:rsidRDefault="005538F6" w:rsidP="005538F6">
            <w:pPr>
              <w:pStyle w:val="NormaleWeb"/>
            </w:pPr>
            <w:r>
              <w:br/>
              <w:t>                                                                                                                                            </w:t>
            </w:r>
          </w:p>
          <w:permEnd w:id="1731219673"/>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33948; 33949; 33950; 33951; 51720; 65009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2137219838" w:edGrp="everyone"/>
      <w:permEnd w:id="2137219838"/>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6" w:name="w2t2109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2116452216" w:edGrp="everyone"/>
            <w:r>
              <w:rPr>
                <w:rFonts w:ascii="Calibri" w:hAnsi="Calibri" w:cs="Calibri"/>
                <w:szCs w:val="26"/>
              </w:rPr>
              <w:t>TCLD_ECNF_FACCU</w:t>
            </w:r>
            <w:permEnd w:id="211645221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3" w:history="1">
              <w:r w:rsidRPr="005538F6">
                <w:rPr>
                  <w:rStyle w:val="Collegamentoipertestuale"/>
                  <w:rFonts w:ascii="Calibri" w:hAnsi="Calibri" w:cs="Calibri"/>
                  <w:szCs w:val="20"/>
                </w:rPr>
                <w:t>21093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4" w:history="1">
              <w:r w:rsidRPr="005538F6">
                <w:rPr>
                  <w:rStyle w:val="Collegamentoipertestuale"/>
                  <w:rFonts w:ascii="Calibri" w:hAnsi="Calibri" w:cs="Calibri"/>
                  <w:szCs w:val="20"/>
                </w:rPr>
                <w:t>97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43</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94</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6"/>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21093 - Associazione CdR/CdC ad U.O.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81654180" w:edGrp="everyone" w:displacedByCustomXml="next"/>
        <w:sdt>
          <w:sdtPr>
            <w:rPr>
              <w:rFonts w:ascii="Calibri" w:hAnsi="Calibri" w:cs="Calibri"/>
              <w:color w:val="000000" w:themeColor="text1"/>
              <w:szCs w:val="20"/>
            </w:rPr>
            <w:id w:val="-179143351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58165418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281370056" w:edGrp="everyone"/>
            <w:r>
              <w:rPr>
                <w:rFonts w:ascii="Calibri" w:hAnsi="Calibri" w:cs="Calibri"/>
                <w:b/>
                <w:sz w:val="26"/>
                <w:szCs w:val="26"/>
              </w:rPr>
              <w:t>Associazione CdR/CdC ad U.O.</w:t>
            </w:r>
            <w:permEnd w:id="1281370056"/>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573194127" w:edGrp="everyone"/>
            <w:r>
              <w:rPr>
                <w:rFonts w:ascii="Tahoma" w:hAnsi="Tahoma" w:cs="Tahoma"/>
                <w:color w:val="000000"/>
                <w:sz w:val="22"/>
                <w:szCs w:val="22"/>
              </w:rPr>
              <w:t>L’amministratore di sistema e gli operatori autorizzati devono poter associare i centri di responsabilità e i centri di costo caricati e/o acquisiti (vedi feature “</w:t>
            </w:r>
            <w:r>
              <w:rPr>
                <w:rFonts w:ascii="Tahoma" w:hAnsi="Tahoma" w:cs="Tahoma"/>
                <w:i/>
                <w:iCs/>
                <w:color w:val="000000"/>
                <w:sz w:val="22"/>
                <w:szCs w:val="22"/>
              </w:rPr>
              <w:t>TCLD_ECNF_FCCC0 – Configurazione centri di costo</w:t>
            </w:r>
            <w:r>
              <w:rPr>
                <w:rFonts w:ascii="Tahoma" w:hAnsi="Tahoma" w:cs="Tahoma"/>
                <w:color w:val="000000"/>
                <w:sz w:val="22"/>
                <w:szCs w:val="22"/>
              </w:rPr>
              <w:t>” e “</w:t>
            </w:r>
            <w:r>
              <w:rPr>
                <w:rFonts w:ascii="Tahoma" w:hAnsi="Tahoma" w:cs="Tahoma"/>
                <w:i/>
                <w:iCs/>
                <w:color w:val="000000"/>
                <w:sz w:val="22"/>
                <w:szCs w:val="22"/>
              </w:rPr>
              <w:t>TCLD_ECNF_FCCR0 – Configurazione centri di responsabilità</w:t>
            </w:r>
            <w:r>
              <w:rPr>
                <w:rFonts w:ascii="Tahoma" w:hAnsi="Tahoma" w:cs="Tahoma"/>
                <w:color w:val="000000"/>
                <w:sz w:val="22"/>
                <w:szCs w:val="22"/>
              </w:rPr>
              <w:t>”) alle proprie strutture/U.O. (vedi feature “</w:t>
            </w:r>
            <w:r>
              <w:rPr>
                <w:rFonts w:ascii="Tahoma" w:hAnsi="Tahoma" w:cs="Tahoma"/>
                <w:i/>
                <w:iCs/>
                <w:color w:val="000000"/>
                <w:sz w:val="22"/>
                <w:szCs w:val="22"/>
              </w:rPr>
              <w:t>TCLD_EGS0_FDA00 – Definizione amministrazione</w:t>
            </w:r>
            <w:r>
              <w:rPr>
                <w:rFonts w:ascii="Tahoma" w:hAnsi="Tahoma" w:cs="Tahoma"/>
                <w:color w:val="000000"/>
                <w:sz w:val="22"/>
                <w:szCs w:val="22"/>
              </w:rPr>
              <w:t>”).</w:t>
            </w:r>
          </w:p>
          <w:p w:rsidR="005538F6" w:rsidRDefault="005538F6" w:rsidP="005538F6">
            <w:pPr>
              <w:pStyle w:val="NormaleWeb"/>
              <w:spacing w:before="60" w:beforeAutospacing="0" w:after="60" w:afterAutospacing="0"/>
              <w:jc w:val="both"/>
            </w:pPr>
            <w:r>
              <w:rPr>
                <w:rFonts w:ascii="Tahoma" w:hAnsi="Tahoma" w:cs="Tahoma"/>
                <w:color w:val="000000"/>
                <w:sz w:val="22"/>
                <w:szCs w:val="22"/>
              </w:rPr>
              <w:t>Il sistema, deve prevedere l’acquisizione delle informazioni anche da fonti esterne e/o massivamente, e deve dare evidenza delle eventuali variazioni rispetto a quanto presente già nel sistema.</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Nel caso di modifiche dell’organigramma o ai CdR/CdC per le amministrazioni fuori bilancio, occorre sempre segnalare all’operatore la necessità di effettuare eventuali  opportune variazioni con apposito messaggio di warning a sistema o notifiche verso i responsabili dell'attività. </w:t>
            </w:r>
          </w:p>
          <w:p w:rsidR="005538F6" w:rsidRDefault="005538F6" w:rsidP="005538F6">
            <w:pPr>
              <w:pStyle w:val="NormaleWeb"/>
              <w:spacing w:before="60" w:beforeAutospacing="0" w:after="60" w:afterAutospacing="0"/>
              <w:jc w:val="both"/>
            </w:pPr>
          </w:p>
          <w:p w:rsidR="005538F6" w:rsidRDefault="005538F6" w:rsidP="005538F6">
            <w:pPr>
              <w:pStyle w:val="NormaleWeb"/>
            </w:pPr>
            <w:r>
              <w:rPr>
                <w:rFonts w:ascii="Tahoma" w:hAnsi="Tahoma" w:cs="Tahoma"/>
                <w:color w:val="000000"/>
                <w:sz w:val="22"/>
                <w:szCs w:val="22"/>
              </w:rPr>
              <w:t xml:space="preserve">Nota: RGS/ContEco si è resa disponibile a fornire l’associazione tra CdR/CdC e U.O a livello centralizzato, per le amministrazioni ricomprese nel bilancio dello Stato, a partire dalle anagrafiche delle strutture gestite in NoiPA. In questo modo sarebbe possibile avviare la nuova gestione con le associazioni già popolate, con la possibilità di intervenire in aggiornamento qualora si verifichino variazioni ad inizio anno o in corso d’anno per riassetti organizzativi o ristrutturazioni. </w:t>
            </w:r>
          </w:p>
          <w:p w:rsidR="005538F6" w:rsidRDefault="005538F6" w:rsidP="005538F6">
            <w:pPr>
              <w:pStyle w:val="NormaleWeb"/>
            </w:pPr>
          </w:p>
          <w:p w:rsidR="005538F6" w:rsidRDefault="005538F6" w:rsidP="005538F6">
            <w:pPr>
              <w:pStyle w:val="NormaleWeb"/>
            </w:pPr>
            <w:r>
              <w:rPr>
                <w:rFonts w:ascii="Tahoma" w:hAnsi="Tahoma" w:cs="Tahoma"/>
                <w:noProof/>
                <w:color w:val="000000"/>
                <w:sz w:val="16"/>
                <w:szCs w:val="16"/>
              </w:rPr>
              <w:drawing>
                <wp:inline distT="0" distB="0" distL="0" distR="0">
                  <wp:extent cx="10610850" cy="4648200"/>
                  <wp:effectExtent l="0" t="0" r="0" b="0"/>
                  <wp:docPr id="9" name="Immagine 9" descr="http://tfsprod.mef.gov.it/tfs/Cloudify-NoiPA/WorkItemTracking/v1.0/AttachFileHandler.ashx?FileNameGuid=57d8b886-b52b-446a-9989-19a5b5a49e23&amp;FileName=10.%20Associazione%20CdRCdC%20ad%20U.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fsprod.mef.gov.it/tfs/Cloudify-NoiPA/WorkItemTracking/v1.0/AttachFileHandler.ashx?FileNameGuid=57d8b886-b52b-446a-9989-19a5b5a49e23&amp;FileName=10.%20Associazione%20CdRCdC%20ad%20U.O..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610850" cy="4648200"/>
                          </a:xfrm>
                          <a:prstGeom prst="rect">
                            <a:avLst/>
                          </a:prstGeom>
                          <a:noFill/>
                          <a:ln>
                            <a:noFill/>
                          </a:ln>
                        </pic:spPr>
                      </pic:pic>
                    </a:graphicData>
                  </a:graphic>
                </wp:inline>
              </w:drawing>
            </w:r>
          </w:p>
          <w:p w:rsidR="005538F6" w:rsidRDefault="005538F6" w:rsidP="005538F6">
            <w:pPr>
              <w:pStyle w:val="NormaleWeb"/>
            </w:pPr>
            <w:r>
              <w:br/>
              <w:t>                                                                                                                                            </w:t>
            </w:r>
          </w:p>
          <w:permEnd w:id="573194127"/>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9</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41174; 41176; 41178; 41179; 41180; 41181; 41182; 41183; 55561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2118208583" w:edGrp="everyone"/>
      <w:permEnd w:id="2118208583"/>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7" w:name="w2t2109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2046439126" w:edGrp="everyone"/>
            <w:r>
              <w:rPr>
                <w:rFonts w:ascii="Calibri" w:hAnsi="Calibri" w:cs="Calibri"/>
                <w:szCs w:val="26"/>
              </w:rPr>
              <w:t>TCLD_ECNF_FCRC0</w:t>
            </w:r>
            <w:permEnd w:id="204643912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6" w:history="1">
              <w:r w:rsidRPr="005538F6">
                <w:rPr>
                  <w:rStyle w:val="Collegamentoipertestuale"/>
                  <w:rFonts w:ascii="Calibri" w:hAnsi="Calibri" w:cs="Calibri"/>
                  <w:szCs w:val="20"/>
                </w:rPr>
                <w:t>21094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7" w:history="1">
              <w:r w:rsidRPr="005538F6">
                <w:rPr>
                  <w:rStyle w:val="Collegamentoipertestuale"/>
                  <w:rFonts w:ascii="Calibri" w:hAnsi="Calibri" w:cs="Calibri"/>
                  <w:szCs w:val="20"/>
                </w:rPr>
                <w:t>107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92</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7"/>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21094 - Configurazione dei ruoli contabili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33374318" w:edGrp="everyone" w:displacedByCustomXml="next"/>
        <w:sdt>
          <w:sdtPr>
            <w:rPr>
              <w:rFonts w:ascii="Calibri" w:hAnsi="Calibri" w:cs="Calibri"/>
              <w:color w:val="000000" w:themeColor="text1"/>
              <w:szCs w:val="20"/>
            </w:rPr>
            <w:id w:val="171739248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63337431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310732452" w:edGrp="everyone"/>
            <w:r>
              <w:rPr>
                <w:rFonts w:ascii="Calibri" w:hAnsi="Calibri" w:cs="Calibri"/>
                <w:b/>
                <w:sz w:val="26"/>
                <w:szCs w:val="26"/>
              </w:rPr>
              <w:t>Configurazione dei ruoli contabili</w:t>
            </w:r>
            <w:permEnd w:id="1310732452"/>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419592333" w:edGrp="everyone"/>
            <w:r>
              <w:rPr>
                <w:rFonts w:ascii="Tahoma" w:hAnsi="Tahoma" w:cs="Tahoma"/>
                <w:color w:val="000000"/>
                <w:sz w:val="22"/>
                <w:szCs w:val="22"/>
              </w:rPr>
              <w:t xml:space="preserve">L’amministratore di sistema deve poter inserire, variare o eliminare i ruoli contabili all’interno del sistema al fine di individuare i soggetti autorizzatori di spesa. </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L’amministratore di sistema e gli operatori autorizzati (solo per le amministrazioni fuori bilancio) devono poter acquisire le informazioni necessarie per la configurazione dei ruoli contabili anche da fonti esterne. In particolare, per la corretta configurazione dei ruoli contabili (solo per le amministrazioni in bilancio), è necessario acquisire anche le codifiche delle strutture di controllo da associare ai ruoli contabili (ad es: attualmente l’anagrafica suddetta per le amministrazioni in bilancio è acquisita tramite </w:t>
            </w:r>
            <w:r>
              <w:rPr>
                <w:rFonts w:ascii="Tahoma" w:hAnsi="Tahoma" w:cs="Tahoma"/>
                <w:b/>
                <w:bCs/>
                <w:color w:val="000000"/>
                <w:sz w:val="22"/>
                <w:szCs w:val="22"/>
              </w:rPr>
              <w:t>il flusso 804</w:t>
            </w:r>
            <w:r>
              <w:rPr>
                <w:rFonts w:ascii="Tahoma" w:hAnsi="Tahoma" w:cs="Tahoma"/>
                <w:color w:val="000000"/>
                <w:sz w:val="22"/>
                <w:szCs w:val="22"/>
              </w:rPr>
              <w:t>, vedi file allegato).</w:t>
            </w:r>
          </w:p>
          <w:p w:rsidR="005538F6" w:rsidRDefault="005538F6" w:rsidP="005538F6">
            <w:pPr>
              <w:pStyle w:val="NormaleWeb"/>
              <w:spacing w:before="60" w:beforeAutospacing="0" w:after="60" w:afterAutospacing="0"/>
              <w:jc w:val="both"/>
            </w:pPr>
            <w:r>
              <w:rPr>
                <w:rFonts w:ascii="Tahoma" w:hAnsi="Tahoma" w:cs="Tahoma"/>
                <w:color w:val="000000"/>
                <w:sz w:val="22"/>
                <w:szCs w:val="22"/>
              </w:rPr>
              <w:t>I dati minimali da inserire per la configurazione dei ruoli contabili sono: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ruolo contabile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Descrizione ruolo </w:t>
            </w:r>
            <w:r>
              <w:rPr>
                <w:rFonts w:ascii="Tahoma" w:hAnsi="Tahoma" w:cs="Tahoma"/>
                <w:sz w:val="22"/>
                <w:szCs w:val="22"/>
              </w:rPr>
              <w:t>contabile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jc w:val="both"/>
            </w:pPr>
            <w:r>
              <w:rPr>
                <w:rFonts w:ascii="Georgia" w:hAnsi="Georgia"/>
                <w:color w:val="000000"/>
                <w:sz w:val="22"/>
                <w:szCs w:val="22"/>
              </w:rPr>
              <w:t>A ciascun ruolo contabile potrà essere possibile associare sia le differenti strutture delle amministrazioni gestite sia eventualmente una struttura di controllo di riferimento come descritto nella feature “</w:t>
            </w:r>
            <w:r>
              <w:rPr>
                <w:rFonts w:ascii="Georgia" w:hAnsi="Georgia"/>
                <w:i/>
                <w:iCs/>
                <w:color w:val="000000"/>
                <w:sz w:val="22"/>
                <w:szCs w:val="22"/>
              </w:rPr>
              <w:t>TCLD_ECNF_FARCU - Associazione ruoli contabili a U.O. e aggiornamento v/so sistemi terzi</w:t>
            </w:r>
            <w:r>
              <w:rPr>
                <w:rFonts w:ascii="Georgia" w:hAnsi="Georgia"/>
                <w:color w:val="000000"/>
                <w:sz w:val="22"/>
                <w:szCs w:val="22"/>
              </w:rPr>
              <w:t>”.</w:t>
            </w:r>
          </w:p>
          <w:p w:rsidR="005538F6" w:rsidRDefault="005538F6" w:rsidP="005538F6">
            <w:pPr>
              <w:pStyle w:val="NormaleWeb"/>
              <w:ind w:left="720"/>
              <w:jc w:val="both"/>
            </w:pPr>
            <w:r>
              <w:rPr>
                <w:rFonts w:ascii="Georgia" w:hAnsi="Georgia"/>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Attualmente viene acquisito un flusso inviato da RGS (vedi </w:t>
            </w:r>
            <w:r>
              <w:rPr>
                <w:rFonts w:ascii="Tahoma" w:hAnsi="Tahoma" w:cs="Tahoma"/>
                <w:b/>
                <w:bCs/>
                <w:color w:val="000000"/>
                <w:sz w:val="22"/>
                <w:szCs w:val="22"/>
              </w:rPr>
              <w:t>flusso “808”</w:t>
            </w:r>
            <w:r>
              <w:rPr>
                <w:rFonts w:ascii="Tahoma" w:hAnsi="Tahoma" w:cs="Tahoma"/>
                <w:color w:val="000000"/>
                <w:sz w:val="22"/>
                <w:szCs w:val="22"/>
              </w:rPr>
              <w:t xml:space="preserve"> del file allegato) per la comunicazione dell’aggiornamento dei nuovi POS mentre l’articolazione delle UCB/RTS viene recepita attraverso un flusso annuale inviato dalla RGS (vedi </w:t>
            </w:r>
            <w:r>
              <w:rPr>
                <w:rFonts w:ascii="Tahoma" w:hAnsi="Tahoma" w:cs="Tahoma"/>
                <w:b/>
                <w:bCs/>
                <w:color w:val="000000"/>
                <w:sz w:val="22"/>
                <w:szCs w:val="22"/>
              </w:rPr>
              <w:t>flusso “804”</w:t>
            </w:r>
            <w:r>
              <w:rPr>
                <w:rFonts w:ascii="Tahoma" w:hAnsi="Tahoma" w:cs="Tahoma"/>
                <w:color w:val="000000"/>
                <w:sz w:val="22"/>
                <w:szCs w:val="22"/>
              </w:rPr>
              <w:t xml:space="preserve"> del file allegato) che gestisce anche le eventuali variazioni. </w:t>
            </w:r>
          </w:p>
          <w:p w:rsidR="005538F6" w:rsidRDefault="005538F6" w:rsidP="005538F6">
            <w:pPr>
              <w:pStyle w:val="NormaleWeb"/>
              <w:spacing w:before="60" w:beforeAutospacing="0" w:after="60" w:afterAutospacing="0"/>
              <w:jc w:val="both"/>
            </w:pPr>
            <w:r>
              <w:rPr>
                <w:rFonts w:ascii="Tahoma" w:hAnsi="Tahoma" w:cs="Tahoma"/>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Ad esempio, per le amministrazioni gestite nell’ambito del Bilancio dello Stato , un esempio di ruoli contabili utili per la corretta gestione dei compensi e spese “non obbligatoriepossibili sono:</w:t>
            </w:r>
          </w:p>
          <w:p w:rsidR="005538F6" w:rsidRDefault="005538F6" w:rsidP="005538F6">
            <w:pPr>
              <w:pStyle w:val="NormaleWeb"/>
              <w:spacing w:before="60" w:beforeAutospacing="0" w:after="60" w:afterAutospacing="0"/>
              <w:ind w:left="720" w:hanging="360"/>
              <w:jc w:val="both"/>
            </w:pPr>
            <w:r>
              <w:rPr>
                <w:sz w:val="22"/>
                <w:szCs w:val="22"/>
              </w:rPr>
              <w:t>1.</w:t>
            </w:r>
            <w:r>
              <w:rPr>
                <w:sz w:val="14"/>
                <w:szCs w:val="14"/>
              </w:rPr>
              <w:t xml:space="preserve">       </w:t>
            </w:r>
            <w:r>
              <w:rPr>
                <w:rFonts w:ascii="Tahoma" w:hAnsi="Tahoma" w:cs="Tahoma"/>
                <w:sz w:val="22"/>
                <w:szCs w:val="22"/>
              </w:rPr>
              <w:t xml:space="preserve">POS (punti ordinanti di spesa) – designati dalle amministrazioni </w:t>
            </w:r>
          </w:p>
          <w:p w:rsidR="005538F6" w:rsidRDefault="005538F6" w:rsidP="005538F6">
            <w:pPr>
              <w:pStyle w:val="NormaleWeb"/>
              <w:spacing w:before="60" w:beforeAutospacing="0" w:after="60" w:afterAutospacing="0"/>
              <w:ind w:left="720" w:hanging="360"/>
              <w:jc w:val="both"/>
            </w:pPr>
            <w:r>
              <w:rPr>
                <w:rFonts w:ascii="Georgia" w:hAnsi="Georgia"/>
                <w:color w:val="000000"/>
                <w:sz w:val="22"/>
                <w:szCs w:val="22"/>
              </w:rPr>
              <w:t>2.</w:t>
            </w:r>
            <w:r>
              <w:rPr>
                <w:color w:val="000000"/>
                <w:sz w:val="14"/>
                <w:szCs w:val="14"/>
              </w:rPr>
              <w:t xml:space="preserve">      </w:t>
            </w:r>
            <w:r>
              <w:rPr>
                <w:rFonts w:ascii="Tahoma" w:hAnsi="Tahoma" w:cs="Tahoma"/>
                <w:color w:val="000000"/>
                <w:sz w:val="22"/>
                <w:szCs w:val="22"/>
              </w:rPr>
              <w:t xml:space="preserve">UCB/RTS – con ruoli di controllo e validazione della spesa </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Anche  per le amministrazioni fuori bilancio, deve essere possibile configurare gli eventuali ruoli contabili da assegnare alle strutture autorizzatori dei compensi e spese “non obbligatorie”. </w:t>
            </w:r>
          </w:p>
          <w:p w:rsidR="005538F6" w:rsidRDefault="005538F6" w:rsidP="005538F6">
            <w:pPr>
              <w:pStyle w:val="NormaleWeb"/>
              <w:spacing w:before="60" w:beforeAutospacing="0" w:after="60" w:afterAutospacing="0"/>
              <w:jc w:val="both"/>
            </w:pPr>
            <w:r>
              <w:rPr>
                <w:rFonts w:ascii="Tahoma" w:hAnsi="Tahoma" w:cs="Tahoma"/>
                <w:color w:val="000000"/>
                <w:sz w:val="22"/>
                <w:szCs w:val="22"/>
              </w:rPr>
              <w:t>Il sistema deve mantenere la storicità delle variazioni e darne evidenza all’operatore.</w:t>
            </w:r>
          </w:p>
          <w:p w:rsidR="005538F6" w:rsidRDefault="005538F6" w:rsidP="005538F6">
            <w:pPr>
              <w:pStyle w:val="NormaleWeb"/>
              <w:spacing w:before="60" w:beforeAutospacing="0" w:after="60" w:afterAutospacing="0"/>
              <w:jc w:val="both"/>
            </w:pPr>
            <w:r>
              <w:rPr>
                <w:rFonts w:ascii="Tahoma" w:hAnsi="Tahoma" w:cs="Tahoma"/>
                <w:color w:val="000000"/>
                <w:sz w:val="22"/>
                <w:szCs w:val="22"/>
              </w:rPr>
              <w:t>Il sistema non deve permettere l’eliminazione di un ruolo contabile se già in uso dal sistema.</w:t>
            </w:r>
          </w:p>
          <w:p w:rsidR="005538F6" w:rsidRDefault="005538F6" w:rsidP="005538F6">
            <w:pPr>
              <w:pStyle w:val="NormaleWeb"/>
              <w:spacing w:before="60" w:beforeAutospacing="0" w:after="60" w:afterAutospacing="0"/>
              <w:jc w:val="both"/>
            </w:pPr>
          </w:p>
          <w:p w:rsidR="005538F6" w:rsidRDefault="005538F6" w:rsidP="005538F6">
            <w:pPr>
              <w:pStyle w:val="NormaleWeb"/>
              <w:spacing w:before="60" w:beforeAutospacing="0" w:after="60" w:afterAutospacing="0"/>
              <w:jc w:val="both"/>
            </w:pPr>
            <w:r>
              <w:rPr>
                <w:rFonts w:ascii="Tahoma" w:hAnsi="Tahoma" w:cs="Tahoma"/>
                <w:noProof/>
                <w:color w:val="000000"/>
                <w:sz w:val="16"/>
                <w:szCs w:val="16"/>
              </w:rPr>
              <w:lastRenderedPageBreak/>
              <w:drawing>
                <wp:inline distT="0" distB="0" distL="0" distR="0">
                  <wp:extent cx="8715375" cy="5010150"/>
                  <wp:effectExtent l="0" t="0" r="9525" b="0"/>
                  <wp:docPr id="10" name="Immagine 10" descr="http://tfsprod.mef.gov.it/tfs/Cloudify-NoiPA/WorkItemTracking/v1.0/AttachFileHandler.ashx?FileNameGuid=55fb84f5-d60d-4f5f-ae38-60ea279b1912&amp;FileName=11.%20Configurazione%20dei%20ruoli%20contab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fsprod.mef.gov.it/tfs/Cloudify-NoiPA/WorkItemTracking/v1.0/AttachFileHandler.ashx?FileNameGuid=55fb84f5-d60d-4f5f-ae38-60ea279b1912&amp;FileName=11.%20Configurazione%20dei%20ruoli%20contabili.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715375" cy="5010150"/>
                          </a:xfrm>
                          <a:prstGeom prst="rect">
                            <a:avLst/>
                          </a:prstGeom>
                          <a:noFill/>
                          <a:ln>
                            <a:noFill/>
                          </a:ln>
                        </pic:spPr>
                      </pic:pic>
                    </a:graphicData>
                  </a:graphic>
                </wp:inline>
              </w:drawing>
            </w:r>
          </w:p>
          <w:p w:rsidR="005538F6" w:rsidRDefault="005538F6" w:rsidP="005538F6">
            <w:pPr>
              <w:pStyle w:val="NormaleWeb"/>
            </w:pPr>
            <w:r>
              <w:br/>
              <w:t>                                                                                                                                            </w:t>
            </w:r>
          </w:p>
          <w:permEnd w:id="419592333"/>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33688; 33689; 33690; 33799; 51826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894503370" w:edGrp="everyone"/>
      <w:permEnd w:id="894503370"/>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8" w:name="w2t2109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16814445" w:edGrp="everyone"/>
            <w:r>
              <w:rPr>
                <w:rFonts w:ascii="Calibri" w:hAnsi="Calibri" w:cs="Calibri"/>
                <w:szCs w:val="26"/>
              </w:rPr>
              <w:t>TCLD_ECNF_FARCU</w:t>
            </w:r>
            <w:permEnd w:id="11681444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29" w:history="1">
              <w:r w:rsidRPr="005538F6">
                <w:rPr>
                  <w:rStyle w:val="Collegamentoipertestuale"/>
                  <w:rFonts w:ascii="Calibri" w:hAnsi="Calibri" w:cs="Calibri"/>
                  <w:szCs w:val="20"/>
                </w:rPr>
                <w:t>21095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0" w:history="1">
              <w:r w:rsidRPr="005538F6">
                <w:rPr>
                  <w:rStyle w:val="Collegamentoipertestuale"/>
                  <w:rFonts w:ascii="Calibri" w:hAnsi="Calibri" w:cs="Calibri"/>
                  <w:szCs w:val="20"/>
                </w:rPr>
                <w:t>92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75</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8"/>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21095 - Associazione ruoli contabili a U.O. e aggiornamento v/so sistemi terzi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18990969" w:edGrp="everyone" w:displacedByCustomXml="next"/>
        <w:sdt>
          <w:sdtPr>
            <w:rPr>
              <w:rFonts w:ascii="Calibri" w:hAnsi="Calibri" w:cs="Calibri"/>
              <w:color w:val="000000" w:themeColor="text1"/>
              <w:szCs w:val="20"/>
            </w:rPr>
            <w:id w:val="185236433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1899096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225406305" w:edGrp="everyone"/>
            <w:r>
              <w:rPr>
                <w:rFonts w:ascii="Calibri" w:hAnsi="Calibri" w:cs="Calibri"/>
                <w:b/>
                <w:sz w:val="26"/>
                <w:szCs w:val="26"/>
              </w:rPr>
              <w:t>Associazione ruoli contabili a U.O. e aggiornamento v/so sistemi terzi</w:t>
            </w:r>
            <w:permEnd w:id="1225406305"/>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60" w:afterAutospacing="0"/>
              <w:jc w:val="both"/>
            </w:pPr>
            <w:permStart w:id="988042066" w:edGrp="everyone"/>
            <w:r>
              <w:rPr>
                <w:rFonts w:ascii="Tahoma" w:hAnsi="Tahoma" w:cs="Tahoma"/>
                <w:color w:val="000000"/>
                <w:sz w:val="22"/>
                <w:szCs w:val="22"/>
              </w:rPr>
              <w:t>Gli operatori autorizzati (solo per le amministrazioni in bilancio) devono poter procedere all’associazione di un ruolo contabile (vedi feature “</w:t>
            </w:r>
            <w:r>
              <w:rPr>
                <w:rFonts w:ascii="Tahoma" w:hAnsi="Tahoma" w:cs="Tahoma"/>
                <w:i/>
                <w:iCs/>
                <w:color w:val="000000"/>
                <w:sz w:val="22"/>
                <w:szCs w:val="22"/>
              </w:rPr>
              <w:t>TCLD_ECNF_FCRC0 – Configurazione dei ruoli contabili</w:t>
            </w:r>
            <w:r>
              <w:rPr>
                <w:rFonts w:ascii="Tahoma" w:hAnsi="Tahoma" w:cs="Tahoma"/>
                <w:color w:val="000000"/>
                <w:sz w:val="22"/>
                <w:szCs w:val="22"/>
              </w:rPr>
              <w:t>”) ad una U.O. (vedi feature “</w:t>
            </w:r>
            <w:r>
              <w:rPr>
                <w:rFonts w:ascii="Tahoma" w:hAnsi="Tahoma" w:cs="Tahoma"/>
                <w:i/>
                <w:iCs/>
                <w:color w:val="000000"/>
                <w:sz w:val="22"/>
                <w:szCs w:val="22"/>
              </w:rPr>
              <w:t>TCLD_EGS0_FDA00 – Definizione amministrazione</w:t>
            </w:r>
            <w:r>
              <w:rPr>
                <w:rFonts w:ascii="Tahoma" w:hAnsi="Tahoma" w:cs="Tahoma"/>
                <w:color w:val="000000"/>
                <w:sz w:val="22"/>
                <w:szCs w:val="22"/>
              </w:rPr>
              <w:t>”) della propria amministrazione.</w:t>
            </w:r>
          </w:p>
          <w:p w:rsidR="005538F6" w:rsidRDefault="005538F6" w:rsidP="005538F6">
            <w:pPr>
              <w:pStyle w:val="NormaleWeb"/>
              <w:spacing w:before="60" w:beforeAutospacing="0" w:after="60" w:afterAutospacing="0"/>
              <w:jc w:val="both"/>
            </w:pPr>
            <w:r>
              <w:rPr>
                <w:rFonts w:ascii="Tahoma" w:hAnsi="Tahoma" w:cs="Tahoma"/>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Qualora per le amministrazioni comprese nel bilancio dello Stato, il ruolo contabile abbia associata una struttura di controllo di riferimento (anche esterna all’amministrazione titolare del ruolo contabile, es. RTS/UCB), il sistema deve essere in grado di recepire l’associazione al ruolo contabile e gestirne anche l’eventuale codifica esterna (es. vedi  attuale “</w:t>
            </w:r>
            <w:r>
              <w:rPr>
                <w:rFonts w:ascii="Tahoma" w:hAnsi="Tahoma" w:cs="Tahoma"/>
                <w:b/>
                <w:bCs/>
                <w:color w:val="000000"/>
                <w:sz w:val="22"/>
                <w:szCs w:val="22"/>
              </w:rPr>
              <w:t>flusso 804</w:t>
            </w:r>
            <w:r>
              <w:rPr>
                <w:rFonts w:ascii="Tahoma" w:hAnsi="Tahoma" w:cs="Tahoma"/>
                <w:color w:val="000000"/>
                <w:sz w:val="22"/>
                <w:szCs w:val="22"/>
              </w:rPr>
              <w:t>” e “</w:t>
            </w:r>
            <w:r>
              <w:rPr>
                <w:rFonts w:ascii="Tahoma" w:hAnsi="Tahoma" w:cs="Tahoma"/>
                <w:b/>
                <w:bCs/>
                <w:color w:val="000000"/>
                <w:sz w:val="22"/>
                <w:szCs w:val="22"/>
              </w:rPr>
              <w:t>flusso 808</w:t>
            </w:r>
            <w:r>
              <w:rPr>
                <w:rFonts w:ascii="Tahoma" w:hAnsi="Tahoma" w:cs="Tahoma"/>
                <w:color w:val="000000"/>
                <w:sz w:val="22"/>
                <w:szCs w:val="22"/>
              </w:rPr>
              <w:t xml:space="preserve">”).Per le amministrazioni in bilancio, inoltre, il sistema deve essere in grado di prevedere la comunicazione delle associazioni in tempo reale verso i sistemi interessati (es. RGS, come da tracciato attuale web-service, vedi </w:t>
            </w:r>
            <w:r>
              <w:rPr>
                <w:rFonts w:ascii="Tahoma" w:hAnsi="Tahoma" w:cs="Tahoma"/>
                <w:b/>
                <w:bCs/>
                <w:color w:val="000000"/>
                <w:sz w:val="22"/>
                <w:szCs w:val="22"/>
              </w:rPr>
              <w:t>“flusso 904”</w:t>
            </w:r>
            <w:r>
              <w:rPr>
                <w:rFonts w:ascii="Tahoma" w:hAnsi="Tahoma" w:cs="Tahoma"/>
                <w:color w:val="000000"/>
                <w:sz w:val="22"/>
                <w:szCs w:val="22"/>
              </w:rPr>
              <w:t>) con notifica all’amministratore di sistema al momento dell’associazione alle U.O. da parte degli operatori autorizzati.</w:t>
            </w:r>
          </w:p>
          <w:p w:rsidR="005538F6" w:rsidRDefault="005538F6" w:rsidP="005538F6">
            <w:pPr>
              <w:pStyle w:val="NormaleWeb"/>
              <w:spacing w:before="60" w:beforeAutospacing="0" w:after="60" w:afterAutospacing="0"/>
              <w:jc w:val="both"/>
            </w:pPr>
          </w:p>
          <w:p w:rsidR="005538F6" w:rsidRDefault="005538F6" w:rsidP="005538F6">
            <w:pPr>
              <w:pStyle w:val="NormaleWeb"/>
              <w:spacing w:before="60" w:beforeAutospacing="0" w:after="60" w:afterAutospacing="0"/>
              <w:jc w:val="both"/>
            </w:pPr>
            <w:r>
              <w:rPr>
                <w:rFonts w:ascii="Tahoma" w:hAnsi="Tahoma" w:cs="Tahoma"/>
                <w:noProof/>
                <w:color w:val="000000"/>
                <w:sz w:val="16"/>
                <w:szCs w:val="16"/>
              </w:rPr>
              <w:drawing>
                <wp:inline distT="0" distB="0" distL="0" distR="0">
                  <wp:extent cx="14277975" cy="4648200"/>
                  <wp:effectExtent l="0" t="0" r="9525" b="0"/>
                  <wp:docPr id="11" name="Immagine 11" descr="http://tfsprod.mef.gov.it/tfs/Cloudify-NoiPA/WorkItemTracking/v1.0/AttachFileHandler.ashx?FileNameGuid=01000485-3842-4459-b11d-35331b7313af&amp;FileName=12.%20Associazione%20ruoli%20contabili%20a%20U.O.%20e%20aggiornamento%20verso%20sistemi%20ter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fsprod.mef.gov.it/tfs/Cloudify-NoiPA/WorkItemTracking/v1.0/AttachFileHandler.ashx?FileNameGuid=01000485-3842-4459-b11d-35331b7313af&amp;FileName=12.%20Associazione%20ruoli%20contabili%20a%20U.O.%20e%20aggiornamento%20verso%20sistemi%20terzi.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277975" cy="4648200"/>
                          </a:xfrm>
                          <a:prstGeom prst="rect">
                            <a:avLst/>
                          </a:prstGeom>
                          <a:noFill/>
                          <a:ln>
                            <a:noFill/>
                          </a:ln>
                        </pic:spPr>
                      </pic:pic>
                    </a:graphicData>
                  </a:graphic>
                </wp:inline>
              </w:drawing>
            </w:r>
          </w:p>
          <w:p w:rsidR="005538F6" w:rsidRDefault="005538F6" w:rsidP="005538F6">
            <w:pPr>
              <w:pStyle w:val="NormaleWeb"/>
            </w:pPr>
            <w:r>
              <w:lastRenderedPageBreak/>
              <w:br/>
              <w:t>                                                                                                                                            </w:t>
            </w:r>
          </w:p>
          <w:permEnd w:id="988042066"/>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41184; 41185; 41186; 41187; 57977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01384368" w:edGrp="everyone"/>
      <w:permEnd w:id="101384368"/>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9" w:name="w2t2109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417639955" w:edGrp="everyone"/>
            <w:r>
              <w:rPr>
                <w:rFonts w:ascii="Calibri" w:hAnsi="Calibri" w:cs="Calibri"/>
                <w:szCs w:val="26"/>
              </w:rPr>
              <w:t>TCLD_ECNF_FCB00</w:t>
            </w:r>
            <w:permEnd w:id="141763995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2" w:history="1">
              <w:r w:rsidRPr="005538F6">
                <w:rPr>
                  <w:rStyle w:val="Collegamentoipertestuale"/>
                  <w:rFonts w:ascii="Calibri" w:hAnsi="Calibri" w:cs="Calibri"/>
                  <w:szCs w:val="20"/>
                </w:rPr>
                <w:t>21096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3" w:history="1">
              <w:r w:rsidRPr="005538F6">
                <w:rPr>
                  <w:rStyle w:val="Collegamentoipertestuale"/>
                  <w:rFonts w:ascii="Calibri" w:hAnsi="Calibri" w:cs="Calibri"/>
                  <w:szCs w:val="20"/>
                </w:rPr>
                <w:t>100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87</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9"/>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21096 - Configurazione e gestione budget</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32036551" w:edGrp="everyone" w:displacedByCustomXml="next"/>
        <w:sdt>
          <w:sdtPr>
            <w:rPr>
              <w:rFonts w:ascii="Calibri" w:hAnsi="Calibri" w:cs="Calibri"/>
              <w:color w:val="000000" w:themeColor="text1"/>
              <w:szCs w:val="20"/>
            </w:rPr>
            <w:id w:val="1868251351"/>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3203655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634039147" w:edGrp="everyone"/>
            <w:r>
              <w:rPr>
                <w:rFonts w:ascii="Calibri" w:hAnsi="Calibri" w:cs="Calibri"/>
                <w:b/>
                <w:sz w:val="26"/>
                <w:szCs w:val="26"/>
              </w:rPr>
              <w:t>Configurazione e gestione budget</w:t>
            </w:r>
            <w:permEnd w:id="1634039147"/>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2" w:beforeAutospacing="0" w:after="160" w:afterAutospacing="0"/>
              <w:jc w:val="both"/>
            </w:pPr>
            <w:permStart w:id="1445992925" w:edGrp="everyone"/>
            <w:r>
              <w:rPr>
                <w:rFonts w:ascii="Tahoma" w:hAnsi="Tahoma" w:cs="Tahoma"/>
                <w:color w:val="000000"/>
                <w:sz w:val="22"/>
                <w:szCs w:val="22"/>
              </w:rPr>
              <w:t>Gli operatori autorizzati (sia per le amministrazioni in bilancio che per quelle fuori bilancio) devono poter configurare uno o più budget associati alla propria amministrazione al fine di gestire la ripartizione e il controllo delle voci di spesa relative alle retribuzioni in relazione agli aggregatori contabili (vedi feature “</w:t>
            </w:r>
            <w:r>
              <w:rPr>
                <w:rFonts w:ascii="Tahoma" w:hAnsi="Tahoma" w:cs="Tahoma"/>
                <w:i/>
                <w:iCs/>
                <w:color w:val="000000"/>
                <w:sz w:val="22"/>
                <w:szCs w:val="22"/>
              </w:rPr>
              <w:t>TCLD_ECNF_FCAC0 – Configurazione aggregatori contabili</w:t>
            </w:r>
            <w:r>
              <w:rPr>
                <w:rFonts w:ascii="Tahoma" w:hAnsi="Tahoma" w:cs="Tahoma"/>
                <w:color w:val="000000"/>
                <w:sz w:val="22"/>
                <w:szCs w:val="22"/>
              </w:rPr>
              <w:t>”). Il budget è uno strumento che viene utilizzato per gestire la ripartizione degli stanziamenti di bilancio tra le varie strutture organizzative dell’amministrazione e/o elementi di classificazione giuridica/economica del personale.</w:t>
            </w:r>
          </w:p>
          <w:p w:rsidR="005538F6" w:rsidRDefault="005538F6" w:rsidP="005538F6">
            <w:pPr>
              <w:pStyle w:val="NormaleWeb"/>
              <w:spacing w:before="62" w:beforeAutospacing="0" w:after="160" w:afterAutospacing="0"/>
              <w:jc w:val="both"/>
            </w:pPr>
            <w:r>
              <w:rPr>
                <w:rFonts w:ascii="Tahoma" w:hAnsi="Tahoma" w:cs="Tahoma"/>
                <w:color w:val="000000"/>
                <w:sz w:val="22"/>
                <w:szCs w:val="22"/>
              </w:rPr>
              <w:t>Per i parametri di imputazione contabile che prevedono uno stanziamento è pertanto possibile definire la gestione tramite budget.</w:t>
            </w:r>
          </w:p>
          <w:p w:rsidR="005538F6" w:rsidRDefault="005538F6" w:rsidP="005538F6">
            <w:pPr>
              <w:pStyle w:val="NormaleWeb"/>
              <w:spacing w:before="62" w:beforeAutospacing="0" w:after="160" w:afterAutospacing="0"/>
              <w:jc w:val="both"/>
            </w:pPr>
            <w:r>
              <w:rPr>
                <w:rFonts w:ascii="Tahoma" w:hAnsi="Tahoma" w:cs="Tahoma"/>
                <w:color w:val="000000"/>
                <w:sz w:val="22"/>
                <w:szCs w:val="22"/>
              </w:rPr>
              <w:t>I dati minimali da inserire per la configurazione di un budget sono:</w:t>
            </w:r>
          </w:p>
          <w:p w:rsidR="005538F6" w:rsidRDefault="005538F6" w:rsidP="005538F6">
            <w:pPr>
              <w:pStyle w:val="NormaleWeb"/>
              <w:spacing w:before="62" w:beforeAutospacing="0" w:after="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Identificativo budget</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Descrizione budget</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Identificativo budget padre (opzionale)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Autorizzativo (si/no)</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Tipo budget (“quantità&amp;importo”, “solo importo”)Classificazione budget (cassa/competenza)</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Tipo atto (opzionale)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Numero atto (opzionale)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atto (opzionale)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Dati anagrafica responsabile budget (opzionale)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lastRenderedPageBreak/>
              <w:t></w:t>
            </w:r>
            <w:r>
              <w:rPr>
                <w:color w:val="000000"/>
                <w:sz w:val="14"/>
                <w:szCs w:val="14"/>
              </w:rPr>
              <w:t xml:space="preserve">         </w:t>
            </w:r>
            <w:r>
              <w:rPr>
                <w:rFonts w:ascii="Tahoma" w:hAnsi="Tahoma" w:cs="Tahoma"/>
                <w:color w:val="000000"/>
                <w:sz w:val="22"/>
                <w:szCs w:val="22"/>
              </w:rPr>
              <w:t>Provvisorio (si/no)</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Data di chiusura </w:t>
            </w:r>
          </w:p>
          <w:p w:rsidR="005538F6" w:rsidRDefault="005538F6" w:rsidP="005538F6">
            <w:pPr>
              <w:pStyle w:val="NormaleWeb"/>
              <w:spacing w:before="62"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2" w:beforeAutospacing="0" w:after="0" w:afterAutospacing="0"/>
              <w:jc w:val="both"/>
            </w:pPr>
            <w:r>
              <w:rPr>
                <w:rFonts w:ascii="Tahoma" w:hAnsi="Tahoma" w:cs="Tahoma"/>
                <w:color w:val="000000"/>
                <w:sz w:val="22"/>
                <w:szCs w:val="22"/>
              </w:rPr>
              <w:t>Deve essere inoltre possibile associare al budget aggregatori contabili (da 1 a “n”; vedi feature “</w:t>
            </w:r>
            <w:r>
              <w:rPr>
                <w:rFonts w:ascii="Tahoma" w:hAnsi="Tahoma" w:cs="Tahoma"/>
                <w:i/>
                <w:iCs/>
                <w:color w:val="000000"/>
                <w:sz w:val="22"/>
                <w:szCs w:val="22"/>
              </w:rPr>
              <w:t>TCLD_ECNF_FCAC0 - Configurazione aggregatori contabili</w:t>
            </w:r>
            <w:r>
              <w:rPr>
                <w:rFonts w:ascii="Tahoma" w:hAnsi="Tahoma" w:cs="Tahoma"/>
                <w:color w:val="000000"/>
                <w:sz w:val="22"/>
                <w:szCs w:val="22"/>
              </w:rPr>
              <w:t>”):</w:t>
            </w:r>
          </w:p>
          <w:p w:rsidR="005538F6" w:rsidRDefault="005538F6" w:rsidP="005538F6">
            <w:pPr>
              <w:pStyle w:val="NormaleWeb"/>
              <w:spacing w:before="62" w:beforeAutospacing="0" w:after="160" w:afterAutospacing="0"/>
              <w:ind w:left="1440" w:hanging="360"/>
              <w:jc w:val="both"/>
            </w:pPr>
            <w:r>
              <w:rPr>
                <w:rFonts w:ascii="Courier New" w:hAnsi="Courier New" w:cs="Courier New"/>
                <w:color w:val="000000"/>
                <w:sz w:val="20"/>
                <w:szCs w:val="20"/>
              </w:rPr>
              <w:t>o</w:t>
            </w:r>
            <w:r>
              <w:rPr>
                <w:color w:val="000000"/>
                <w:sz w:val="14"/>
                <w:szCs w:val="14"/>
              </w:rPr>
              <w:t xml:space="preserve">    </w:t>
            </w:r>
            <w:r>
              <w:rPr>
                <w:rFonts w:ascii="Tahoma" w:hAnsi="Tahoma" w:cs="Tahoma"/>
                <w:color w:val="000000"/>
                <w:sz w:val="22"/>
                <w:szCs w:val="22"/>
              </w:rPr>
              <w:t>Quantità aggregatore</w:t>
            </w:r>
          </w:p>
          <w:p w:rsidR="005538F6" w:rsidRDefault="005538F6" w:rsidP="005538F6">
            <w:pPr>
              <w:pStyle w:val="NormaleWeb"/>
              <w:spacing w:before="62" w:beforeAutospacing="0" w:after="160" w:afterAutospacing="0"/>
              <w:ind w:left="1440" w:hanging="360"/>
              <w:jc w:val="both"/>
            </w:pPr>
            <w:r>
              <w:rPr>
                <w:rFonts w:ascii="Courier New" w:hAnsi="Courier New" w:cs="Courier New"/>
                <w:color w:val="000000"/>
                <w:sz w:val="20"/>
                <w:szCs w:val="20"/>
              </w:rPr>
              <w:t>o</w:t>
            </w:r>
            <w:r>
              <w:rPr>
                <w:color w:val="000000"/>
                <w:sz w:val="14"/>
                <w:szCs w:val="14"/>
              </w:rPr>
              <w:t xml:space="preserve">    </w:t>
            </w:r>
            <w:r>
              <w:rPr>
                <w:rFonts w:ascii="Tahoma" w:hAnsi="Tahoma" w:cs="Tahoma"/>
                <w:color w:val="000000"/>
                <w:sz w:val="22"/>
                <w:szCs w:val="22"/>
              </w:rPr>
              <w:t>Importo aggregatore</w:t>
            </w:r>
          </w:p>
          <w:p w:rsidR="005538F6" w:rsidRDefault="005538F6" w:rsidP="005538F6">
            <w:pPr>
              <w:pStyle w:val="NormaleWeb"/>
              <w:spacing w:before="60" w:beforeAutospacing="0" w:after="60" w:afterAutospacing="0"/>
              <w:jc w:val="both"/>
            </w:pPr>
            <w:r>
              <w:rPr>
                <w:rFonts w:ascii="Tahoma" w:hAnsi="Tahoma" w:cs="Tahoma"/>
                <w:color w:val="000000"/>
                <w:sz w:val="22"/>
                <w:szCs w:val="22"/>
              </w:rPr>
              <w:t>Deve essere inoltre possibile prevedere sull’importo stanziato, di configurare ripartizioni temporali, quantitative e monetarie (importo) del budget assegnato al cui esubero il sistema deve segnalarlo con un eventuale alert al supero di un qualsiasi limite impostato per ciascun periodo. Si riporta di seguito un esempio di possibile configurazione: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Bloccante (sì/no);</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massima di utilizzo (opzionale - default 100%)</w:t>
            </w:r>
          </w:p>
          <w:p w:rsidR="005538F6" w:rsidRDefault="005538F6" w:rsidP="005538F6">
            <w:pPr>
              <w:pStyle w:val="NormaleWeb"/>
              <w:spacing w:before="60" w:beforeAutospacing="0" w:after="60" w:afterAutospacing="0"/>
              <w:ind w:left="1440" w:hanging="360"/>
              <w:jc w:val="both"/>
            </w:pPr>
            <w:r>
              <w:rPr>
                <w:rFonts w:ascii="Courier New" w:hAnsi="Courier New" w:cs="Courier New"/>
                <w:color w:val="000000"/>
                <w:sz w:val="20"/>
                <w:szCs w:val="20"/>
              </w:rPr>
              <w:t>o</w:t>
            </w:r>
            <w:r>
              <w:rPr>
                <w:color w:val="000000"/>
                <w:sz w:val="14"/>
                <w:szCs w:val="14"/>
              </w:rPr>
              <w:t xml:space="preserve">    </w:t>
            </w:r>
            <w:r>
              <w:rPr>
                <w:rFonts w:ascii="Tahoma" w:hAnsi="Tahoma" w:cs="Tahoma"/>
                <w:color w:val="000000"/>
                <w:sz w:val="22"/>
                <w:szCs w:val="22"/>
              </w:rPr>
              <w:t>Periodo di riferimento (nell’ambito del periodo di validità del fondo “da ... a…” o periodi codificati vedi feature “</w:t>
            </w:r>
            <w:r>
              <w:rPr>
                <w:rFonts w:ascii="Tahoma" w:hAnsi="Tahoma" w:cs="Tahoma"/>
                <w:i/>
                <w:iCs/>
                <w:color w:val="000000"/>
                <w:sz w:val="22"/>
                <w:szCs w:val="22"/>
              </w:rPr>
              <w:t>TCLD_ECN0_FCP00 – Configurazione periodi</w:t>
            </w:r>
            <w:r>
              <w:rPr>
                <w:rFonts w:ascii="Tahoma" w:hAnsi="Tahoma" w:cs="Tahoma"/>
                <w:color w:val="000000"/>
                <w:sz w:val="22"/>
                <w:szCs w:val="22"/>
              </w:rPr>
              <w:t>”)</w:t>
            </w:r>
          </w:p>
          <w:p w:rsidR="005538F6" w:rsidRDefault="005538F6" w:rsidP="005538F6">
            <w:pPr>
              <w:pStyle w:val="NormaleWeb"/>
              <w:spacing w:before="60" w:beforeAutospacing="0" w:after="60" w:afterAutospacing="0"/>
              <w:jc w:val="both"/>
            </w:pPr>
            <w:r>
              <w:rPr>
                <w:rFonts w:ascii="Tahoma" w:hAnsi="Tahoma" w:cs="Tahoma"/>
                <w:color w:val="000000"/>
                <w:sz w:val="22"/>
                <w:szCs w:val="22"/>
              </w:rPr>
              <w:t>Nel caso di superamento dell’importo stanziato, se il campo “Bloccante” è impostato come “sì”, il sistema deve fornire le opportune segnalazioni agli operatori abilitati.</w:t>
            </w:r>
          </w:p>
          <w:p w:rsidR="005538F6" w:rsidRDefault="005538F6" w:rsidP="005538F6">
            <w:pPr>
              <w:pStyle w:val="NormaleWeb"/>
              <w:spacing w:before="60" w:beforeAutospacing="0" w:after="60" w:afterAutospacing="0"/>
              <w:jc w:val="both"/>
            </w:pPr>
            <w:r>
              <w:rPr>
                <w:rFonts w:ascii="Tahoma" w:hAnsi="Tahoma" w:cs="Tahoma"/>
                <w:color w:val="000000"/>
                <w:sz w:val="22"/>
                <w:szCs w:val="22"/>
              </w:rPr>
              <w:t xml:space="preserve">Nel caso del supero della “% massima di utilizzo”, il sistema deve fornire agli operatori autorizzati una segnalazione non bloccante. </w:t>
            </w:r>
          </w:p>
          <w:p w:rsidR="005538F6" w:rsidRDefault="005538F6" w:rsidP="005538F6">
            <w:pPr>
              <w:pStyle w:val="NormaleWeb"/>
              <w:spacing w:before="62" w:beforeAutospacing="0" w:after="160" w:afterAutospacing="0"/>
              <w:jc w:val="both"/>
            </w:pPr>
            <w:r>
              <w:rPr>
                <w:rFonts w:ascii="Tahoma" w:hAnsi="Tahoma" w:cs="Tahoma"/>
                <w:color w:val="000000"/>
                <w:sz w:val="22"/>
                <w:szCs w:val="22"/>
              </w:rPr>
              <w:t>Il sistema per i budget di tipo “quantità&amp;importo” deve permettere l’associazione di aggregatori contabili di tipo voce che abbiamo associate voci di tipo “quantità” e di tipo “quantità&amp;importo”, mentre per i budget di tipo “importo”, il sistema, deve permettere l’associazione di aggregatori contabili di tipo voce che abbiano associate voci di tipo “importo” e di tipo “quantità&amp;importo” vedi Epica</w:t>
            </w:r>
            <w:r>
              <w:rPr>
                <w:sz w:val="22"/>
                <w:szCs w:val="22"/>
              </w:rPr>
              <w:t xml:space="preserve"> “</w:t>
            </w:r>
            <w:r>
              <w:rPr>
                <w:i/>
                <w:iCs/>
                <w:sz w:val="22"/>
                <w:szCs w:val="22"/>
              </w:rPr>
              <w:t>TCLD_ECNF -</w:t>
            </w:r>
            <w:r>
              <w:rPr>
                <w:rFonts w:ascii="Tahoma" w:hAnsi="Tahoma" w:cs="Tahoma"/>
                <w:i/>
                <w:iCs/>
                <w:color w:val="000000"/>
                <w:sz w:val="22"/>
                <w:szCs w:val="22"/>
              </w:rPr>
              <w:t>Configurazioni e parametrizzazioni – voci stipendiali</w:t>
            </w:r>
            <w:r>
              <w:rPr>
                <w:rFonts w:ascii="Tahoma" w:hAnsi="Tahoma" w:cs="Tahoma"/>
                <w:color w:val="000000"/>
                <w:sz w:val="22"/>
                <w:szCs w:val="22"/>
              </w:rPr>
              <w:t>”.</w:t>
            </w:r>
          </w:p>
          <w:p w:rsidR="005538F6" w:rsidRDefault="005538F6" w:rsidP="005538F6">
            <w:pPr>
              <w:pStyle w:val="NormaleWeb"/>
              <w:spacing w:before="62" w:beforeAutospacing="0" w:after="160" w:afterAutospacing="0"/>
              <w:jc w:val="both"/>
            </w:pPr>
            <w:r>
              <w:rPr>
                <w:rFonts w:ascii="Tahoma" w:hAnsi="Tahoma" w:cs="Tahoma"/>
                <w:color w:val="000000"/>
                <w:sz w:val="22"/>
                <w:szCs w:val="22"/>
              </w:rPr>
              <w:t>Nel caso in cui la classificazione budget sia di tipo “cassa”, il sistema deve controllare che le date della rata stipendiale siano ricomprese fra le date di validità del budget. Nel caso di classificazione di tipo “competenza”, il sistema deve controllare che le date di riferimento del compenso in liquidazione siano ricomprese fra le date di validità del budget.</w:t>
            </w:r>
          </w:p>
          <w:p w:rsidR="005538F6" w:rsidRDefault="005538F6" w:rsidP="005538F6">
            <w:pPr>
              <w:pStyle w:val="NormaleWeb"/>
              <w:spacing w:before="62" w:beforeAutospacing="0" w:after="160" w:afterAutospacing="0"/>
              <w:jc w:val="both"/>
            </w:pPr>
            <w:r>
              <w:rPr>
                <w:rFonts w:ascii="Tahoma" w:hAnsi="Tahoma" w:cs="Tahoma"/>
                <w:color w:val="000000"/>
                <w:sz w:val="22"/>
                <w:szCs w:val="22"/>
              </w:rPr>
              <w:t xml:space="preserve">Il sistema non deve permettere di imputare, al budget, pagamenti con data di esigibilità successiva alla data di chiusura (se compilata). </w:t>
            </w:r>
          </w:p>
          <w:p w:rsidR="005538F6" w:rsidRDefault="005538F6" w:rsidP="005538F6">
            <w:pPr>
              <w:pStyle w:val="NormaleWeb"/>
              <w:spacing w:before="62" w:beforeAutospacing="0" w:after="160" w:afterAutospacing="0"/>
              <w:jc w:val="both"/>
            </w:pPr>
            <w:r>
              <w:rPr>
                <w:rFonts w:ascii="Tahoma" w:hAnsi="Tahoma" w:cs="Tahoma"/>
                <w:color w:val="000000"/>
                <w:sz w:val="22"/>
                <w:szCs w:val="22"/>
              </w:rPr>
              <w:t>Il sistema deve permettere di gestire l’eventuale ripartizione del budget in sub-budget, mediante compilazione dell’identificativo budget padre e identificando, per ciascun sub-budget, l’ambito di ripartizione (ad esempio: elementi di carattere organizzativo, come la U.O. o elementi di carattere  anagrafico o giuridico-economico).</w:t>
            </w:r>
          </w:p>
          <w:p w:rsidR="005538F6" w:rsidRDefault="005538F6" w:rsidP="005538F6">
            <w:pPr>
              <w:pStyle w:val="NormaleWeb"/>
            </w:pPr>
            <w:r>
              <w:rPr>
                <w:rFonts w:ascii="Tahoma" w:hAnsi="Tahoma" w:cs="Tahoma"/>
                <w:color w:val="000000"/>
                <w:sz w:val="22"/>
                <w:szCs w:val="22"/>
              </w:rPr>
              <w:t>Qualora sia configurato la relazione budget padre e sub-budget, il sistema deve verificare la congruità della somma degli importi e delle quantità dei sub budget con gli importi e le quantità del budget padre.</w:t>
            </w:r>
          </w:p>
          <w:p w:rsidR="005538F6" w:rsidRDefault="005538F6" w:rsidP="005538F6">
            <w:pPr>
              <w:pStyle w:val="NormaleWeb"/>
            </w:pPr>
          </w:p>
          <w:p w:rsidR="005538F6" w:rsidRDefault="005538F6" w:rsidP="005538F6">
            <w:pPr>
              <w:pStyle w:val="NormaleWeb"/>
            </w:pPr>
          </w:p>
          <w:p w:rsidR="005538F6" w:rsidRDefault="005538F6" w:rsidP="005538F6">
            <w:pPr>
              <w:pStyle w:val="NormaleWeb"/>
            </w:pPr>
            <w:r>
              <w:rPr>
                <w:rFonts w:ascii="Tahoma" w:hAnsi="Tahoma" w:cs="Tahoma"/>
                <w:noProof/>
                <w:color w:val="000000"/>
                <w:sz w:val="16"/>
                <w:szCs w:val="16"/>
              </w:rPr>
              <w:drawing>
                <wp:inline distT="0" distB="0" distL="0" distR="0">
                  <wp:extent cx="10963275" cy="4791075"/>
                  <wp:effectExtent l="0" t="0" r="9525" b="9525"/>
                  <wp:docPr id="12" name="Immagine 12" descr="http://tfsprod.mef.gov.it/tfs/Cloudify-NoiPA/WorkItemTracking/v1.0/AttachFileHandler.ashx?FileNameGuid=3f02fd0c-dde0-4936-96b1-dc0db2d8e94a&amp;FileName=13.%20Configurazione%20budg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fsprod.mef.gov.it/tfs/Cloudify-NoiPA/WorkItemTracking/v1.0/AttachFileHandler.ashx?FileNameGuid=3f02fd0c-dde0-4936-96b1-dc0db2d8e94a&amp;FileName=13.%20Configurazione%20budget.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963275" cy="4791075"/>
                          </a:xfrm>
                          <a:prstGeom prst="rect">
                            <a:avLst/>
                          </a:prstGeom>
                          <a:noFill/>
                          <a:ln>
                            <a:noFill/>
                          </a:ln>
                        </pic:spPr>
                      </pic:pic>
                    </a:graphicData>
                  </a:graphic>
                </wp:inline>
              </w:drawing>
            </w:r>
          </w:p>
          <w:p w:rsidR="005538F6" w:rsidRDefault="005538F6" w:rsidP="005538F6">
            <w:pPr>
              <w:pStyle w:val="NormaleWeb"/>
            </w:pPr>
            <w:r>
              <w:br/>
              <w:t>                                                                                                                                            </w:t>
            </w:r>
          </w:p>
          <w:permEnd w:id="1445992925"/>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33996; 33997; 33998; 33999; 54204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542390943" w:edGrp="everyone"/>
      <w:permEnd w:id="542390943"/>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10" w:name="w2t2109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975222043" w:edGrp="everyone"/>
            <w:r>
              <w:rPr>
                <w:rFonts w:ascii="Calibri" w:hAnsi="Calibri" w:cs="Calibri"/>
                <w:szCs w:val="26"/>
              </w:rPr>
              <w:t>TCLD_ECNF_FCFA0</w:t>
            </w:r>
            <w:permEnd w:id="197522204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5" w:history="1">
              <w:r w:rsidRPr="005538F6">
                <w:rPr>
                  <w:rStyle w:val="Collegamentoipertestuale"/>
                  <w:rFonts w:ascii="Calibri" w:hAnsi="Calibri" w:cs="Calibri"/>
                  <w:szCs w:val="20"/>
                </w:rPr>
                <w:t>21097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6" w:history="1">
              <w:r w:rsidRPr="005538F6">
                <w:rPr>
                  <w:rStyle w:val="Collegamentoipertestuale"/>
                  <w:rFonts w:ascii="Calibri" w:hAnsi="Calibri" w:cs="Calibri"/>
                  <w:szCs w:val="20"/>
                </w:rPr>
                <w:t>113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84</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10"/>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21097 - Configurazione e gestione fondi aziendali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78368368" w:edGrp="everyone" w:displacedByCustomXml="next"/>
        <w:sdt>
          <w:sdtPr>
            <w:rPr>
              <w:rFonts w:ascii="Calibri" w:hAnsi="Calibri" w:cs="Calibri"/>
              <w:color w:val="000000" w:themeColor="text1"/>
              <w:szCs w:val="20"/>
            </w:rPr>
            <w:id w:val="149637893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7836836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1272213956" w:edGrp="everyone"/>
            <w:r>
              <w:rPr>
                <w:rFonts w:ascii="Calibri" w:hAnsi="Calibri" w:cs="Calibri"/>
                <w:b/>
                <w:sz w:val="26"/>
                <w:szCs w:val="26"/>
              </w:rPr>
              <w:t>Configurazione e gestione fondi aziendali</w:t>
            </w:r>
            <w:permEnd w:id="1272213956"/>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2" w:beforeAutospacing="0" w:after="0" w:afterAutospacing="0"/>
            </w:pPr>
            <w:permStart w:id="397498514" w:edGrp="everyone"/>
            <w:r>
              <w:rPr>
                <w:rFonts w:ascii="Tahoma" w:hAnsi="Tahoma" w:cs="Tahoma"/>
                <w:color w:val="000000"/>
                <w:sz w:val="22"/>
                <w:szCs w:val="22"/>
              </w:rPr>
              <w:t>Gli operatori autorizzati devono poter configurare uno o più fondi aziendali, per la verifica della capienza degli stessi in quanto indispensabili per l’autorizzazione e il monitoraggio dei pagamenti finanziati dal fondo stesso.</w:t>
            </w:r>
          </w:p>
          <w:p w:rsidR="005538F6" w:rsidRDefault="005538F6" w:rsidP="005538F6">
            <w:pPr>
              <w:pStyle w:val="NormaleWeb"/>
              <w:spacing w:before="0" w:beforeAutospacing="0" w:after="160" w:afterAutospacing="0"/>
              <w:jc w:val="both"/>
            </w:pPr>
            <w:r>
              <w:rPr>
                <w:rFonts w:ascii="Tahoma" w:hAnsi="Tahoma" w:cs="Tahoma"/>
                <w:color w:val="000000"/>
                <w:sz w:val="22"/>
                <w:szCs w:val="22"/>
              </w:rPr>
              <w:t xml:space="preserve">Ad esempio, l’operatore autorizzato deve poter configurare il “Fondo per il finanziamento delle fasce retributive”, il “Fondo delle posizioni organizzative”, etc. </w:t>
            </w:r>
          </w:p>
          <w:p w:rsidR="005538F6" w:rsidRDefault="005538F6" w:rsidP="005538F6">
            <w:pPr>
              <w:pStyle w:val="NormaleWeb"/>
              <w:spacing w:before="0" w:beforeAutospacing="0" w:after="160" w:afterAutospacing="0"/>
              <w:jc w:val="both"/>
            </w:pPr>
            <w:r>
              <w:rPr>
                <w:rFonts w:ascii="Tahoma" w:hAnsi="Tahoma" w:cs="Tahoma"/>
                <w:color w:val="000000"/>
                <w:sz w:val="22"/>
                <w:szCs w:val="22"/>
              </w:rPr>
              <w:t> </w:t>
            </w:r>
          </w:p>
          <w:p w:rsidR="005538F6" w:rsidRDefault="005538F6" w:rsidP="005538F6">
            <w:pPr>
              <w:pStyle w:val="NormaleWeb"/>
              <w:spacing w:before="0" w:beforeAutospacing="0" w:after="160" w:afterAutospacing="0"/>
              <w:jc w:val="both"/>
            </w:pPr>
            <w:r>
              <w:rPr>
                <w:rFonts w:ascii="Tahoma" w:hAnsi="Tahoma" w:cs="Tahoma"/>
                <w:color w:val="000000"/>
                <w:sz w:val="22"/>
                <w:szCs w:val="22"/>
              </w:rPr>
              <w:t>I dati minimali da inserire per la configurazione di un fondo aziendale sono:</w:t>
            </w:r>
          </w:p>
          <w:p w:rsidR="005538F6" w:rsidRDefault="005538F6" w:rsidP="005538F6">
            <w:pPr>
              <w:pStyle w:val="NormaleWeb"/>
              <w:spacing w:before="62" w:beforeAutospacing="0" w:after="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Identificativo fondo aziendale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Descrizione fondo aziendale </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Identificativo fondo padre </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Importo validato</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Classificazione fondo (cassa/competenza)</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Data di fine validità </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Identificativo atto di validazione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Provvisorio (si/no)</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atto di validazione</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xml:space="preserve">Data chiusura </w:t>
            </w:r>
          </w:p>
          <w:p w:rsidR="005538F6" w:rsidRDefault="005538F6" w:rsidP="005538F6">
            <w:pPr>
              <w:pStyle w:val="NormaleWeb"/>
              <w:spacing w:before="62"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2" w:beforeAutospacing="0" w:after="160" w:afterAutospacing="0"/>
              <w:jc w:val="both"/>
            </w:pPr>
            <w:r>
              <w:rPr>
                <w:rFonts w:ascii="Georgia" w:hAnsi="Georgia"/>
                <w:color w:val="000000"/>
                <w:sz w:val="22"/>
                <w:szCs w:val="22"/>
              </w:rPr>
              <w:t>Deve essere inoltre possibile associare al fondo:</w:t>
            </w:r>
          </w:p>
          <w:p w:rsidR="005538F6" w:rsidRDefault="005538F6" w:rsidP="005538F6">
            <w:pPr>
              <w:pStyle w:val="NormaleWeb"/>
              <w:spacing w:before="62" w:beforeAutospacing="0" w:after="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Aggregatori contabili associati (da 1 a “n”; vedi feature “</w:t>
            </w:r>
            <w:r>
              <w:rPr>
                <w:rFonts w:ascii="Tahoma" w:hAnsi="Tahoma" w:cs="Tahoma"/>
                <w:i/>
                <w:iCs/>
                <w:color w:val="000000"/>
                <w:sz w:val="22"/>
                <w:szCs w:val="22"/>
              </w:rPr>
              <w:t>TCLD_ECNF_FCAC0 Configurazione aggregatori contabili</w:t>
            </w:r>
            <w:r>
              <w:rPr>
                <w:rFonts w:ascii="Tahoma" w:hAnsi="Tahoma" w:cs="Tahoma"/>
                <w:color w:val="000000"/>
                <w:sz w:val="22"/>
                <w:szCs w:val="22"/>
              </w:rPr>
              <w:t>”)</w:t>
            </w:r>
          </w:p>
          <w:p w:rsidR="005538F6" w:rsidRDefault="005538F6" w:rsidP="005538F6">
            <w:pPr>
              <w:pStyle w:val="NormaleWeb"/>
              <w:spacing w:before="62" w:beforeAutospacing="0" w:after="160" w:afterAutospacing="0"/>
              <w:ind w:left="1440" w:hanging="360"/>
              <w:jc w:val="both"/>
            </w:pPr>
            <w:r>
              <w:rPr>
                <w:rFonts w:ascii="Courier New" w:hAnsi="Courier New" w:cs="Courier New"/>
                <w:color w:val="000000"/>
                <w:sz w:val="20"/>
                <w:szCs w:val="20"/>
              </w:rPr>
              <w:t>o</w:t>
            </w:r>
            <w:r>
              <w:rPr>
                <w:color w:val="000000"/>
                <w:sz w:val="14"/>
                <w:szCs w:val="14"/>
              </w:rPr>
              <w:t xml:space="preserve">    </w:t>
            </w:r>
            <w:r>
              <w:rPr>
                <w:rFonts w:ascii="Tahoma" w:hAnsi="Tahoma" w:cs="Tahoma"/>
                <w:color w:val="000000"/>
                <w:sz w:val="22"/>
                <w:szCs w:val="22"/>
              </w:rPr>
              <w:t xml:space="preserve">Importo aggregatore </w:t>
            </w:r>
          </w:p>
          <w:p w:rsidR="005538F6" w:rsidRDefault="005538F6" w:rsidP="005538F6">
            <w:pPr>
              <w:pStyle w:val="NormaleWeb"/>
              <w:spacing w:before="60" w:beforeAutospacing="0" w:after="60" w:afterAutospacing="0"/>
              <w:jc w:val="both"/>
            </w:pPr>
            <w:r>
              <w:rPr>
                <w:rFonts w:ascii="Tahoma" w:hAnsi="Tahoma" w:cs="Tahoma"/>
                <w:color w:val="000000"/>
                <w:sz w:val="22"/>
                <w:szCs w:val="22"/>
              </w:rPr>
              <w:t>Deve essere inoltre possibile prevedere sull’importo validato, di configurare ripartizioni temporali, quantitative e monetarie (importo) del fondo assegnato al cui esubero il sistema deve segnalarlo con un eventuale alert al supero di un qualsiasi limite impostato per ciascun periodo. Si riporta di seguito un esempio di possibile configurazione: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Bloccante (sì/no);</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 massima di utilizzo (opzionale - default 100%)</w:t>
            </w:r>
          </w:p>
          <w:p w:rsidR="005538F6" w:rsidRDefault="005538F6" w:rsidP="005538F6">
            <w:pPr>
              <w:pStyle w:val="NormaleWeb"/>
              <w:spacing w:before="60" w:beforeAutospacing="0" w:after="60" w:afterAutospacing="0"/>
              <w:ind w:left="1440" w:hanging="360"/>
              <w:jc w:val="both"/>
            </w:pPr>
            <w:r>
              <w:rPr>
                <w:rFonts w:ascii="Courier New" w:hAnsi="Courier New" w:cs="Courier New"/>
                <w:color w:val="000000"/>
                <w:sz w:val="20"/>
                <w:szCs w:val="20"/>
              </w:rPr>
              <w:t>o</w:t>
            </w:r>
            <w:r>
              <w:rPr>
                <w:color w:val="000000"/>
                <w:sz w:val="14"/>
                <w:szCs w:val="14"/>
              </w:rPr>
              <w:t xml:space="preserve">    </w:t>
            </w:r>
            <w:r>
              <w:rPr>
                <w:rFonts w:ascii="Tahoma" w:hAnsi="Tahoma" w:cs="Tahoma"/>
                <w:color w:val="000000"/>
                <w:sz w:val="22"/>
                <w:szCs w:val="22"/>
              </w:rPr>
              <w:t>Periodo di riferimento (nell’ambito del periodo di validità del fondo “da ... a…” o periodi codificati vedi feature “</w:t>
            </w:r>
            <w:r>
              <w:rPr>
                <w:rFonts w:ascii="Tahoma" w:hAnsi="Tahoma" w:cs="Tahoma"/>
                <w:i/>
                <w:iCs/>
                <w:color w:val="000000"/>
                <w:sz w:val="22"/>
                <w:szCs w:val="22"/>
              </w:rPr>
              <w:t>TCLD_ECN0_FCP00 – Configurazione periodi</w:t>
            </w:r>
            <w:r>
              <w:rPr>
                <w:rFonts w:ascii="Tahoma" w:hAnsi="Tahoma" w:cs="Tahoma"/>
                <w:color w:val="000000"/>
                <w:sz w:val="22"/>
                <w:szCs w:val="22"/>
              </w:rPr>
              <w:t>”)</w:t>
            </w:r>
          </w:p>
          <w:p w:rsidR="005538F6" w:rsidRDefault="005538F6" w:rsidP="005538F6">
            <w:pPr>
              <w:pStyle w:val="NormaleWeb"/>
              <w:spacing w:before="60" w:beforeAutospacing="0" w:after="60" w:afterAutospacing="0"/>
              <w:jc w:val="both"/>
            </w:pPr>
            <w:r>
              <w:rPr>
                <w:rFonts w:ascii="Tahoma" w:hAnsi="Tahoma" w:cs="Tahoma"/>
                <w:color w:val="000000"/>
                <w:sz w:val="22"/>
                <w:szCs w:val="22"/>
              </w:rPr>
              <w:t>Nel caso di superamento dell’importo validato, se il campo “Bloccante” è impostato come “sì”, il sistema deve fornire le opportune segnalazioni agli operatori abilitati.</w:t>
            </w:r>
          </w:p>
          <w:p w:rsidR="005538F6" w:rsidRDefault="005538F6" w:rsidP="005538F6">
            <w:pPr>
              <w:pStyle w:val="NormaleWeb"/>
              <w:spacing w:before="60" w:beforeAutospacing="0" w:after="60" w:afterAutospacing="0"/>
              <w:jc w:val="both"/>
            </w:pPr>
            <w:r>
              <w:rPr>
                <w:rFonts w:ascii="Tahoma" w:hAnsi="Tahoma" w:cs="Tahoma"/>
                <w:color w:val="000000"/>
                <w:sz w:val="22"/>
                <w:szCs w:val="22"/>
              </w:rPr>
              <w:lastRenderedPageBreak/>
              <w:t xml:space="preserve">Nel caso del supero della “% massima di utilizzo”, il sistema deve fornire agli operatori autorizzati una segnalazione non bloccante. </w:t>
            </w:r>
          </w:p>
          <w:p w:rsidR="005538F6" w:rsidRDefault="005538F6" w:rsidP="005538F6">
            <w:pPr>
              <w:pStyle w:val="NormaleWeb"/>
              <w:spacing w:before="62" w:beforeAutospacing="0" w:after="160" w:afterAutospacing="0"/>
              <w:jc w:val="both"/>
            </w:pPr>
            <w:r>
              <w:rPr>
                <w:rFonts w:ascii="Georgia" w:hAnsi="Georgia"/>
                <w:color w:val="000000"/>
                <w:sz w:val="22"/>
                <w:szCs w:val="22"/>
              </w:rPr>
              <w:t> </w:t>
            </w:r>
          </w:p>
          <w:p w:rsidR="005538F6" w:rsidRDefault="005538F6" w:rsidP="005538F6">
            <w:pPr>
              <w:pStyle w:val="NormaleWeb"/>
              <w:spacing w:before="60" w:beforeAutospacing="0" w:after="60" w:afterAutospacing="0"/>
            </w:pPr>
            <w:r>
              <w:rPr>
                <w:rFonts w:ascii="Tahoma" w:hAnsi="Tahoma" w:cs="Tahoma"/>
                <w:color w:val="000000"/>
                <w:sz w:val="22"/>
                <w:szCs w:val="22"/>
              </w:rPr>
              <w:t>Gli operatori autorizzati devono poter duplicare i fondi degli anni precedenti, definendo delle nuove date di validità e scegliendo se recuperare il valore del fondo (come valore provvisorio) o inserirlo manualmente.</w:t>
            </w:r>
          </w:p>
          <w:p w:rsidR="005538F6" w:rsidRDefault="005538F6" w:rsidP="005538F6">
            <w:pPr>
              <w:pStyle w:val="NormaleWeb"/>
              <w:spacing w:before="62" w:beforeAutospacing="0" w:after="160" w:afterAutospacing="0"/>
              <w:jc w:val="both"/>
            </w:pPr>
            <w:r>
              <w:rPr>
                <w:rFonts w:ascii="Tahoma" w:hAnsi="Tahoma" w:cs="Tahoma"/>
                <w:color w:val="000000"/>
                <w:sz w:val="22"/>
                <w:szCs w:val="22"/>
              </w:rPr>
              <w:t>Nel caso in cui il fondo configurato sia di tipo “cassa”, il sistema deve controllare che le date della rata stipendiale siano ricomprese fra le date di validità del fondo, vedi Epica “</w:t>
            </w:r>
            <w:r>
              <w:rPr>
                <w:rFonts w:ascii="Tahoma" w:hAnsi="Tahoma" w:cs="Tahoma"/>
                <w:i/>
                <w:iCs/>
                <w:color w:val="000000"/>
                <w:sz w:val="22"/>
                <w:szCs w:val="22"/>
              </w:rPr>
              <w:t>TCLD_ERTR – Retribuzione</w:t>
            </w:r>
            <w:r>
              <w:rPr>
                <w:rFonts w:ascii="Tahoma" w:hAnsi="Tahoma" w:cs="Tahoma"/>
                <w:color w:val="000000"/>
                <w:sz w:val="22"/>
                <w:szCs w:val="22"/>
              </w:rPr>
              <w:t>”. Nel caso di classificazione di tipo “competenza”, il sistema deve controllare che le date di riferimento del compenso in liquidazione siano ricomprese fra le date di validità del fondo.</w:t>
            </w:r>
          </w:p>
          <w:p w:rsidR="005538F6" w:rsidRDefault="005538F6" w:rsidP="005538F6">
            <w:pPr>
              <w:pStyle w:val="NormaleWeb"/>
              <w:spacing w:before="62" w:beforeAutospacing="0" w:after="160" w:afterAutospacing="0"/>
              <w:jc w:val="both"/>
            </w:pPr>
            <w:r>
              <w:rPr>
                <w:rFonts w:ascii="Tahoma" w:hAnsi="Tahoma" w:cs="Tahoma"/>
                <w:color w:val="000000"/>
                <w:sz w:val="22"/>
                <w:szCs w:val="22"/>
              </w:rPr>
              <w:t xml:space="preserve">Qualora sia stata compilata la data di chiusura, il sistema non deve permettere l’imputazione di pagamenti in  data successiva. </w:t>
            </w:r>
          </w:p>
          <w:p w:rsidR="005538F6" w:rsidRDefault="005538F6" w:rsidP="005538F6">
            <w:pPr>
              <w:pStyle w:val="NormaleWeb"/>
              <w:spacing w:before="62" w:beforeAutospacing="0" w:after="160" w:afterAutospacing="0"/>
              <w:jc w:val="both"/>
            </w:pPr>
            <w:r>
              <w:rPr>
                <w:rFonts w:ascii="Tahoma" w:hAnsi="Tahoma" w:cs="Tahoma"/>
                <w:color w:val="000000"/>
                <w:sz w:val="22"/>
                <w:szCs w:val="22"/>
              </w:rPr>
              <w:t>Il sistema deve permettere di gestire la ripartizione del fondo in sub-fondi, mediante compilazione dell’identificativo fondo padre e identificando, per ciascun sub-fondo, l’ambito di ripartizione (ad esempio: natura organizzativa o elemento anagrafico o giuridico-economico).</w:t>
            </w:r>
          </w:p>
          <w:p w:rsidR="005538F6" w:rsidRDefault="005538F6" w:rsidP="005538F6">
            <w:pPr>
              <w:pStyle w:val="NormaleWeb"/>
            </w:pPr>
            <w:r>
              <w:rPr>
                <w:rFonts w:ascii="Tahoma" w:hAnsi="Tahoma" w:cs="Tahoma"/>
                <w:color w:val="000000"/>
                <w:sz w:val="22"/>
                <w:szCs w:val="22"/>
              </w:rPr>
              <w:t>Qualora sia configurata la relazione gerarchica tra fondi, il sistema deve verificare la congruità della somma degli importi e delle quantità dei sub-fondi con gli importi e le quantità del fondo padre.</w:t>
            </w:r>
          </w:p>
          <w:p w:rsidR="005538F6" w:rsidRDefault="005538F6" w:rsidP="005538F6">
            <w:pPr>
              <w:pStyle w:val="NormaleWeb"/>
            </w:pPr>
          </w:p>
          <w:p w:rsidR="005538F6" w:rsidRDefault="005538F6" w:rsidP="005538F6">
            <w:r>
              <w:rPr>
                <w:rFonts w:ascii="Tahoma" w:hAnsi="Tahoma" w:cs="Tahoma"/>
                <w:noProof/>
                <w:color w:val="000000"/>
                <w:sz w:val="16"/>
                <w:szCs w:val="16"/>
                <w:lang w:eastAsia="it-IT"/>
              </w:rPr>
              <w:lastRenderedPageBreak/>
              <w:drawing>
                <wp:inline distT="0" distB="0" distL="0" distR="0">
                  <wp:extent cx="10248900" cy="4791075"/>
                  <wp:effectExtent l="0" t="0" r="0" b="9525"/>
                  <wp:docPr id="13" name="Immagine 13" descr="http://tfsprod.mef.gov.it/tfs/Cloudify-NoiPA/WorkItemTracking/v1.0/AttachFileHandler.ashx?FileNameGuid=07d73eb9-6da5-4a1a-a4de-2c5e68cfff96&amp;FileName=14.%20Configurazione%20fondi%20aziend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tfsprod.mef.gov.it/tfs/Cloudify-NoiPA/WorkItemTracking/v1.0/AttachFileHandler.ashx?FileNameGuid=07d73eb9-6da5-4a1a-a4de-2c5e68cfff96&amp;FileName=14.%20Configurazione%20fondi%20aziendali.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248900" cy="4791075"/>
                          </a:xfrm>
                          <a:prstGeom prst="rect">
                            <a:avLst/>
                          </a:prstGeom>
                          <a:noFill/>
                          <a:ln>
                            <a:noFill/>
                          </a:ln>
                        </pic:spPr>
                      </pic:pic>
                    </a:graphicData>
                  </a:graphic>
                </wp:inline>
              </w:drawing>
            </w:r>
          </w:p>
          <w:p w:rsidR="005538F6" w:rsidRDefault="005538F6" w:rsidP="005538F6">
            <w:pPr>
              <w:pStyle w:val="NormaleWeb"/>
            </w:pPr>
          </w:p>
          <w:p w:rsidR="005538F6" w:rsidRDefault="005538F6" w:rsidP="005538F6">
            <w:pPr>
              <w:pStyle w:val="NormaleWeb"/>
            </w:pPr>
            <w:r>
              <w:br/>
              <w:t>                                                                                                                                            </w:t>
            </w:r>
          </w:p>
          <w:permEnd w:id="397498514"/>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33935; 33936; 33937; 33938; 54205; 54374; 54377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346103363" w:edGrp="everyone"/>
      <w:permEnd w:id="346103363"/>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11" w:name="w2t2109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795623648" w:edGrp="everyone"/>
            <w:r>
              <w:rPr>
                <w:rFonts w:ascii="Calibri" w:hAnsi="Calibri" w:cs="Calibri"/>
                <w:szCs w:val="26"/>
              </w:rPr>
              <w:t>TCLD_ECNF_FCGC0</w:t>
            </w:r>
            <w:permEnd w:id="179562364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8" w:history="1">
              <w:r w:rsidRPr="005538F6">
                <w:rPr>
                  <w:rStyle w:val="Collegamentoipertestuale"/>
                  <w:rFonts w:ascii="Calibri" w:hAnsi="Calibri" w:cs="Calibri"/>
                  <w:szCs w:val="20"/>
                </w:rPr>
                <w:t>21098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39" w:history="1">
              <w:r w:rsidRPr="005538F6">
                <w:rPr>
                  <w:rStyle w:val="Collegamentoipertestuale"/>
                  <w:rFonts w:ascii="Calibri" w:hAnsi="Calibri" w:cs="Calibri"/>
                  <w:szCs w:val="20"/>
                </w:rPr>
                <w:t>125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106</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11"/>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21098 - Configurazione gestioni contabili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3464407" w:edGrp="everyone" w:displacedByCustomXml="next"/>
        <w:sdt>
          <w:sdtPr>
            <w:rPr>
              <w:rFonts w:ascii="Calibri" w:hAnsi="Calibri" w:cs="Calibri"/>
              <w:color w:val="000000" w:themeColor="text1"/>
              <w:szCs w:val="20"/>
            </w:rPr>
            <w:id w:val="157478509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346440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213649051" w:edGrp="everyone"/>
            <w:r>
              <w:rPr>
                <w:rFonts w:ascii="Calibri" w:hAnsi="Calibri" w:cs="Calibri"/>
                <w:b/>
                <w:sz w:val="26"/>
                <w:szCs w:val="26"/>
              </w:rPr>
              <w:t>Configurazione gestioni contabili</w:t>
            </w:r>
            <w:permEnd w:id="213649051"/>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160" w:afterAutospacing="0"/>
              <w:jc w:val="both"/>
            </w:pPr>
            <w:permStart w:id="1281441193" w:edGrp="everyone"/>
            <w:r>
              <w:rPr>
                <w:rFonts w:ascii="Tahoma" w:hAnsi="Tahoma" w:cs="Tahoma"/>
                <w:color w:val="000000"/>
                <w:sz w:val="22"/>
                <w:szCs w:val="22"/>
              </w:rPr>
              <w:t>L’amministratore di sistema deve poter creare, modificare o eliminare una o più gestioni contabili (come ad esempio la contabilità generale (COGE), la contabilità analitica (COAN), la contabilità finanziaria, etc.) al fine di soddisfare le esigenze contabili definite dalla normativa vigente.</w:t>
            </w:r>
          </w:p>
          <w:p w:rsidR="005538F6" w:rsidRDefault="005538F6" w:rsidP="005538F6">
            <w:pPr>
              <w:pStyle w:val="NormaleWeb"/>
              <w:spacing w:before="60" w:beforeAutospacing="0" w:after="160" w:afterAutospacing="0"/>
              <w:jc w:val="both"/>
            </w:pPr>
            <w:r>
              <w:rPr>
                <w:rFonts w:ascii="Tahoma" w:hAnsi="Tahoma" w:cs="Tahoma"/>
                <w:color w:val="000000"/>
                <w:sz w:val="22"/>
                <w:szCs w:val="22"/>
              </w:rPr>
              <w:t>I dati da inserire per la configurazione di ciascuna gestione sono:</w:t>
            </w:r>
          </w:p>
          <w:p w:rsidR="005538F6" w:rsidRDefault="005538F6" w:rsidP="005538F6">
            <w:pPr>
              <w:pStyle w:val="NormaleWeb"/>
              <w:spacing w:before="60" w:beforeAutospacing="0" w:after="1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contabilità</w:t>
            </w:r>
          </w:p>
          <w:p w:rsidR="005538F6" w:rsidRDefault="005538F6" w:rsidP="005538F6">
            <w:pPr>
              <w:pStyle w:val="NormaleWeb"/>
              <w:spacing w:before="6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Descrizione contabilità</w:t>
            </w:r>
          </w:p>
          <w:p w:rsidR="005538F6" w:rsidRDefault="005538F6" w:rsidP="005538F6">
            <w:pPr>
              <w:pStyle w:val="NormaleWeb"/>
              <w:spacing w:before="6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Tipo gestione contabile (ad es. finanziaria, economico-patrimoniale (CoGe), analitica (CoAn), Fondi, etc.)</w:t>
            </w:r>
          </w:p>
          <w:p w:rsidR="005538F6" w:rsidRDefault="005538F6" w:rsidP="005538F6">
            <w:pPr>
              <w:pStyle w:val="NormaleWeb"/>
              <w:spacing w:before="6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Tipo di imputazione (cassa/competenza)</w:t>
            </w:r>
          </w:p>
          <w:p w:rsidR="005538F6" w:rsidRDefault="005538F6" w:rsidP="005538F6">
            <w:pPr>
              <w:pStyle w:val="NormaleWeb"/>
              <w:spacing w:before="6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Gestione provvisoria (si/no)</w:t>
            </w:r>
          </w:p>
          <w:p w:rsidR="005538F6" w:rsidRDefault="005538F6" w:rsidP="005538F6">
            <w:pPr>
              <w:pStyle w:val="NormaleWeb"/>
              <w:spacing w:before="6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inizio validità</w:t>
            </w:r>
          </w:p>
          <w:p w:rsidR="005538F6" w:rsidRDefault="005538F6" w:rsidP="005538F6">
            <w:pPr>
              <w:pStyle w:val="NormaleWeb"/>
              <w:spacing w:before="60" w:beforeAutospacing="0" w:after="1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fine validità</w:t>
            </w:r>
          </w:p>
          <w:p w:rsidR="005538F6" w:rsidRDefault="005538F6" w:rsidP="005538F6">
            <w:pPr>
              <w:pStyle w:val="NormaleWeb"/>
            </w:pPr>
            <w:r>
              <w:rPr>
                <w:rFonts w:ascii="Tahoma" w:hAnsi="Tahoma" w:cs="Tahoma"/>
                <w:color w:val="000000"/>
                <w:sz w:val="22"/>
                <w:szCs w:val="22"/>
              </w:rPr>
              <w:t>NoteA ciascuna gestione contabile deve essere possibile associare 1 o più impianti contabili, cosi come configurato nella feature “</w:t>
            </w:r>
            <w:r>
              <w:rPr>
                <w:rFonts w:ascii="Tahoma" w:hAnsi="Tahoma" w:cs="Tahoma"/>
                <w:i/>
                <w:iCs/>
                <w:color w:val="000000"/>
                <w:sz w:val="22"/>
                <w:szCs w:val="22"/>
              </w:rPr>
              <w:t>TCLD_ECNF_FCSIP - Configurazione strutture impianti contabili</w:t>
            </w:r>
            <w:r>
              <w:rPr>
                <w:rFonts w:ascii="Tahoma" w:hAnsi="Tahoma" w:cs="Tahoma"/>
                <w:color w:val="000000"/>
                <w:sz w:val="22"/>
                <w:szCs w:val="22"/>
              </w:rPr>
              <w:t>”.</w:t>
            </w:r>
          </w:p>
          <w:p w:rsidR="005538F6" w:rsidRDefault="005538F6" w:rsidP="005538F6">
            <w:pPr>
              <w:pStyle w:val="NormaleWeb"/>
            </w:pPr>
          </w:p>
          <w:p w:rsidR="005538F6" w:rsidRDefault="005538F6" w:rsidP="005538F6">
            <w:r>
              <w:rPr>
                <w:rFonts w:ascii="Tahoma" w:hAnsi="Tahoma" w:cs="Tahoma"/>
                <w:noProof/>
                <w:color w:val="000000"/>
                <w:sz w:val="16"/>
                <w:szCs w:val="16"/>
                <w:lang w:eastAsia="it-IT"/>
              </w:rPr>
              <w:lastRenderedPageBreak/>
              <w:drawing>
                <wp:inline distT="0" distB="0" distL="0" distR="0">
                  <wp:extent cx="7724775" cy="5695950"/>
                  <wp:effectExtent l="0" t="0" r="9525" b="0"/>
                  <wp:docPr id="14" name="Immagine 14" descr="http://tfsprod.mef.gov.it/tfs/Cloudify-NoiPA/WorkItemTracking/v1.0/AttachFileHandler.ashx?FileNameGuid=a3c3466a-f4cf-4824-9a9c-86843459a28d&amp;FileName=15.%20Configurazione%20gestioni%20contab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tfsprod.mef.gov.it/tfs/Cloudify-NoiPA/WorkItemTracking/v1.0/AttachFileHandler.ashx?FileNameGuid=a3c3466a-f4cf-4824-9a9c-86843459a28d&amp;FileName=15.%20Configurazione%20gestioni%20contabili.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724775" cy="5695950"/>
                          </a:xfrm>
                          <a:prstGeom prst="rect">
                            <a:avLst/>
                          </a:prstGeom>
                          <a:noFill/>
                          <a:ln>
                            <a:noFill/>
                          </a:ln>
                        </pic:spPr>
                      </pic:pic>
                    </a:graphicData>
                  </a:graphic>
                </wp:inline>
              </w:drawing>
            </w:r>
          </w:p>
          <w:p w:rsidR="005538F6" w:rsidRDefault="005538F6" w:rsidP="005538F6">
            <w:pPr>
              <w:pStyle w:val="NormaleWeb"/>
            </w:pPr>
            <w:r>
              <w:br/>
              <w:t>                                                                                                                                            </w:t>
            </w:r>
          </w:p>
          <w:permEnd w:id="1281441193"/>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33944; 33945; 33946; 33947; 51723; 51724; 65008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366649147" w:edGrp="everyone"/>
      <w:permEnd w:id="1366649147"/>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12" w:name="w2t2110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435511652" w:edGrp="everyone"/>
            <w:r>
              <w:rPr>
                <w:rFonts w:ascii="Calibri" w:hAnsi="Calibri" w:cs="Calibri"/>
                <w:szCs w:val="26"/>
              </w:rPr>
              <w:t>TCLD_ECNF_FCDC00</w:t>
            </w:r>
            <w:permEnd w:id="143551165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41" w:history="1">
              <w:r w:rsidRPr="005538F6">
                <w:rPr>
                  <w:rStyle w:val="Collegamentoipertestuale"/>
                  <w:rFonts w:ascii="Calibri" w:hAnsi="Calibri" w:cs="Calibri"/>
                  <w:szCs w:val="20"/>
                </w:rPr>
                <w:t>21104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42" w:history="1">
              <w:r w:rsidRPr="005538F6">
                <w:rPr>
                  <w:rStyle w:val="Collegamentoipertestuale"/>
                  <w:rFonts w:ascii="Calibri" w:hAnsi="Calibri" w:cs="Calibri"/>
                  <w:szCs w:val="20"/>
                </w:rPr>
                <w:t>96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79</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12"/>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C18B6" w:rsidRDefault="005538F6" w:rsidP="00CF18D8">
            <w:pPr>
              <w:pStyle w:val="TFSWorkitem3"/>
              <w:keepLines/>
            </w:pPr>
            <w:r>
              <w:t>Feature 21104 - Configurazione della duplice contabilizzazione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25902636" w:edGrp="everyone" w:displacedByCustomXml="next"/>
        <w:sdt>
          <w:sdtPr>
            <w:rPr>
              <w:rFonts w:ascii="Calibri" w:hAnsi="Calibri" w:cs="Calibri"/>
              <w:color w:val="000000" w:themeColor="text1"/>
              <w:szCs w:val="20"/>
            </w:rPr>
            <w:id w:val="143416496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2590263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401948082" w:edGrp="everyone"/>
            <w:r>
              <w:rPr>
                <w:rFonts w:ascii="Calibri" w:hAnsi="Calibri" w:cs="Calibri"/>
                <w:b/>
                <w:sz w:val="26"/>
                <w:szCs w:val="26"/>
              </w:rPr>
              <w:t>Configurazione della duplice contabilizzazione</w:t>
            </w:r>
            <w:permEnd w:id="401948082"/>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spacing w:before="100" w:beforeAutospacing="1" w:after="100" w:afterAutospacing="1"/>
            </w:pPr>
            <w:permStart w:id="1055673417" w:edGrp="everyone"/>
            <w:r>
              <w:rPr>
                <w:rFonts w:ascii="Tahoma" w:hAnsi="Tahoma" w:cs="Tahoma"/>
                <w:color w:val="000000"/>
              </w:rPr>
              <w:t>Il sistema deve consentire la configurazione ai fini della duplice contabilizzazione della spesa, in alternativa alle associazione tra contabilità (vedi feature “</w:t>
            </w:r>
            <w:r>
              <w:rPr>
                <w:rFonts w:ascii="Tahoma" w:hAnsi="Tahoma" w:cs="Tahoma"/>
                <w:i/>
                <w:iCs/>
                <w:color w:val="000000"/>
              </w:rPr>
              <w:t>TCLD_ECNF_FAGC0 - Associazione tra gestioni contabili”</w:t>
            </w:r>
            <w:r>
              <w:rPr>
                <w:rFonts w:ascii="Tahoma" w:hAnsi="Tahoma" w:cs="Tahoma"/>
                <w:color w:val="000000"/>
              </w:rPr>
              <w:t>) in modo da poter garantire l’unicità del pagato ma anche una lettura contabile secondo due tipologie di contabilità non associabili tra di loro. Il processo di duplice contabilizzazione è da considerarsi alternativo all’associazione tra le contabilità.</w:t>
            </w:r>
            <w:r>
              <w:rPr>
                <w:color w:val="000000"/>
              </w:rPr>
              <w:t xml:space="preserve"> </w:t>
            </w:r>
          </w:p>
          <w:p w:rsidR="005538F6" w:rsidRDefault="005538F6" w:rsidP="005538F6">
            <w:pPr>
              <w:pStyle w:val="NormaleWeb"/>
              <w:spacing w:before="60" w:beforeAutospacing="0" w:after="60" w:afterAutospacing="0"/>
              <w:jc w:val="both"/>
            </w:pPr>
            <w:r>
              <w:rPr>
                <w:rFonts w:ascii="Tahoma" w:hAnsi="Tahoma" w:cs="Tahoma"/>
                <w:color w:val="000000"/>
                <w:sz w:val="22"/>
                <w:szCs w:val="22"/>
              </w:rPr>
              <w:t>Gli operatori autorizzati devono poter configurare la contabilizzazione dei pagamenti imputando ciascuna voce/aggregatore di voci di dettaglio della retribuzione degli amministrati a due tipi di gestione contabile, ad esempio:</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Contabilità economico-patrimoniale/analitica</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Contabilità finanziaria/economico-patrimoniale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Contabilità finanziaria/analitica</w:t>
            </w:r>
          </w:p>
          <w:p w:rsidR="005538F6" w:rsidRDefault="005538F6" w:rsidP="005538F6">
            <w:pPr>
              <w:pStyle w:val="NormaleWeb"/>
              <w:spacing w:before="60" w:beforeAutospacing="0" w:after="60" w:afterAutospacing="0"/>
              <w:ind w:left="720"/>
              <w:jc w:val="both"/>
            </w:pPr>
            <w:r>
              <w:rPr>
                <w:rFonts w:ascii="Georgia" w:hAnsi="Georgia"/>
                <w:color w:val="000000"/>
                <w:sz w:val="22"/>
                <w:szCs w:val="22"/>
              </w:rPr>
              <w:t> </w:t>
            </w:r>
          </w:p>
          <w:p w:rsidR="005538F6" w:rsidRDefault="005538F6" w:rsidP="005538F6">
            <w:pPr>
              <w:pStyle w:val="NormaleWeb"/>
              <w:spacing w:before="60" w:beforeAutospacing="0" w:after="60" w:afterAutospacing="0"/>
              <w:jc w:val="both"/>
            </w:pPr>
            <w:r>
              <w:rPr>
                <w:rFonts w:ascii="Tahoma" w:hAnsi="Tahoma" w:cs="Tahoma"/>
                <w:color w:val="000000"/>
                <w:sz w:val="22"/>
                <w:szCs w:val="22"/>
              </w:rPr>
              <w:t>L’associazione tra la voce/aggregatore di voci e una delle due contabilità, potrebbe non essere prevista per la natura stessa della voce.Si allega file di esempio (esempio_duplice_contabilizzazione)</w:t>
            </w:r>
          </w:p>
          <w:p w:rsidR="005538F6" w:rsidRDefault="005538F6" w:rsidP="005538F6">
            <w:pPr>
              <w:pStyle w:val="NormaleWeb"/>
              <w:spacing w:before="60" w:beforeAutospacing="0" w:after="60" w:afterAutospacing="0"/>
              <w:jc w:val="both"/>
            </w:pPr>
          </w:p>
          <w:p w:rsidR="005538F6" w:rsidRDefault="005538F6" w:rsidP="005538F6">
            <w:pPr>
              <w:pStyle w:val="NormaleWeb"/>
              <w:spacing w:before="60" w:beforeAutospacing="0" w:after="60" w:afterAutospacing="0"/>
              <w:jc w:val="both"/>
            </w:pPr>
            <w:r>
              <w:rPr>
                <w:rFonts w:ascii="Tahoma" w:hAnsi="Tahoma" w:cs="Tahoma"/>
                <w:noProof/>
                <w:color w:val="000000"/>
                <w:sz w:val="16"/>
                <w:szCs w:val="16"/>
              </w:rPr>
              <w:lastRenderedPageBreak/>
              <w:drawing>
                <wp:inline distT="0" distB="0" distL="0" distR="0">
                  <wp:extent cx="8810625" cy="4848225"/>
                  <wp:effectExtent l="0" t="0" r="9525" b="9525"/>
                  <wp:docPr id="15" name="Immagine 15" descr="http://tfsprod.mef.gov.it/tfs/Cloudify-NoiPA/WorkItemTracking/v1.0/AttachFileHandler.ashx?FileNameGuid=a58448f8-f111-4824-b8ab-a6852d6d4578&amp;FileName=21.%20Configurazione%20della%20duplice%20contabilizz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fsprod.mef.gov.it/tfs/Cloudify-NoiPA/WorkItemTracking/v1.0/AttachFileHandler.ashx?FileNameGuid=a58448f8-f111-4824-b8ab-a6852d6d4578&amp;FileName=21.%20Configurazione%20della%20duplice%20contabilizzazione.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810625" cy="4848225"/>
                          </a:xfrm>
                          <a:prstGeom prst="rect">
                            <a:avLst/>
                          </a:prstGeom>
                          <a:noFill/>
                          <a:ln>
                            <a:noFill/>
                          </a:ln>
                        </pic:spPr>
                      </pic:pic>
                    </a:graphicData>
                  </a:graphic>
                </wp:inline>
              </w:drawing>
            </w:r>
          </w:p>
          <w:p w:rsidR="005538F6" w:rsidRDefault="005538F6" w:rsidP="005538F6">
            <w:pPr>
              <w:pStyle w:val="NormaleWeb"/>
            </w:pPr>
            <w:r>
              <w:br/>
              <w:t>                                                                                                                                            </w:t>
            </w:r>
          </w:p>
          <w:permEnd w:id="1055673417"/>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41188; 55560; 65397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541608954" w:edGrp="everyone"/>
      <w:permEnd w:id="1541608954"/>
    </w:p>
    <w:p w:rsidR="005538F6" w:rsidRPr="005C18B6" w:rsidRDefault="005538F6" w:rsidP="00313F92">
      <w:pPr>
        <w:tabs>
          <w:tab w:val="left" w:pos="5565"/>
        </w:tabs>
        <w:rPr>
          <w:rFonts w:ascii="Calibri" w:hAnsi="Calibri" w:cs="Calibri"/>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Default="005538F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5538F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5538F6" w:rsidRPr="00497C57" w:rsidRDefault="005538F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5538F6" w:rsidRPr="00497C57" w:rsidRDefault="005538F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5538F6" w:rsidRPr="00A45B81" w:rsidRDefault="005538F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5538F6" w:rsidRPr="00A45B81" w:rsidRDefault="005538F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5538F6" w:rsidRPr="00497C57" w:rsidRDefault="005538F6" w:rsidP="00CF18D8">
            <w:pPr>
              <w:keepNext/>
              <w:keepLines/>
              <w:rPr>
                <w:rFonts w:ascii="Calibri" w:hAnsi="Calibri" w:cs="Calibri"/>
                <w:szCs w:val="20"/>
              </w:rPr>
            </w:pPr>
          </w:p>
        </w:tc>
      </w:tr>
      <w:tr w:rsidR="005538F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5538F6" w:rsidRPr="00773A69" w:rsidRDefault="005538F6" w:rsidP="00CF18D8">
            <w:pPr>
              <w:keepNext/>
              <w:keepLines/>
              <w:jc w:val="center"/>
              <w:rPr>
                <w:rFonts w:ascii="Calibri" w:hAnsi="Calibri" w:cs="Calibri"/>
                <w:color w:val="CC66FF"/>
              </w:rPr>
            </w:pPr>
            <w:bookmarkStart w:id="13" w:name="w2t2110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5538F6" w:rsidRPr="00497C57" w:rsidRDefault="005538F6" w:rsidP="00CF18D8">
            <w:pPr>
              <w:keepNext/>
              <w:keepLines/>
              <w:jc w:val="center"/>
              <w:rPr>
                <w:rFonts w:ascii="Calibri" w:hAnsi="Calibri" w:cs="Calibri"/>
                <w:szCs w:val="26"/>
              </w:rPr>
            </w:pPr>
            <w:permStart w:id="1460415956" w:edGrp="everyone"/>
            <w:r>
              <w:rPr>
                <w:rFonts w:ascii="Calibri" w:hAnsi="Calibri" w:cs="Calibri"/>
                <w:szCs w:val="26"/>
              </w:rPr>
              <w:t>TCLD_ECNF_FCSIP</w:t>
            </w:r>
            <w:permEnd w:id="146041595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5538F6" w:rsidRPr="00497C57" w:rsidRDefault="005538F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44" w:history="1">
              <w:r w:rsidRPr="005538F6">
                <w:rPr>
                  <w:rStyle w:val="Collegamentoipertestuale"/>
                  <w:rFonts w:ascii="Calibri" w:hAnsi="Calibri" w:cs="Calibri"/>
                  <w:szCs w:val="20"/>
                </w:rPr>
                <w:t>21105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hyperlink r:id="rId45" w:history="1">
              <w:r w:rsidRPr="005538F6">
                <w:rPr>
                  <w:rStyle w:val="Collegamentoipertestuale"/>
                  <w:rFonts w:ascii="Calibri" w:hAnsi="Calibri" w:cs="Calibri"/>
                  <w:szCs w:val="20"/>
                </w:rPr>
                <w:t>125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108</w:t>
            </w:r>
          </w:p>
        </w:tc>
        <w:tc>
          <w:tcPr>
            <w:tcW w:w="836" w:type="dxa"/>
            <w:tcBorders>
              <w:top w:val="single" w:sz="4" w:space="0" w:color="auto"/>
              <w:bottom w:val="single" w:sz="4" w:space="0" w:color="auto"/>
              <w:right w:val="single" w:sz="4" w:space="0" w:color="auto"/>
            </w:tcBorders>
            <w:shd w:val="clear" w:color="auto" w:fill="FFFF99"/>
            <w:vAlign w:val="center"/>
          </w:tcPr>
          <w:p w:rsidR="005538F6" w:rsidRPr="00497C57" w:rsidRDefault="005538F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5538F6" w:rsidRPr="00497C57" w:rsidRDefault="005538F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5538F6" w:rsidRPr="00497C57" w:rsidRDefault="005538F6" w:rsidP="00CF18D8">
            <w:pPr>
              <w:keepNext/>
              <w:keepLines/>
              <w:jc w:val="center"/>
              <w:rPr>
                <w:rFonts w:ascii="Calibri" w:hAnsi="Calibri" w:cs="Calibri"/>
                <w:szCs w:val="20"/>
              </w:rPr>
            </w:pPr>
          </w:p>
        </w:tc>
      </w:tr>
      <w:bookmarkEnd w:id="13"/>
      <w:tr w:rsidR="005538F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5538F6" w:rsidRPr="005538F6" w:rsidRDefault="005538F6" w:rsidP="00CF18D8">
            <w:pPr>
              <w:pStyle w:val="TFSWorkitem3"/>
              <w:keepLines/>
              <w:rPr>
                <w:lang w:val="it-IT"/>
              </w:rPr>
            </w:pPr>
            <w:r w:rsidRPr="005538F6">
              <w:rPr>
                <w:lang w:val="it-IT"/>
              </w:rPr>
              <w:t>Feature 21105 - Configurazione strutture impianti contabili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18760B"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5538F6" w:rsidRPr="004952F2" w:rsidRDefault="005538F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66909297" w:edGrp="everyone" w:displacedByCustomXml="next"/>
        <w:sdt>
          <w:sdtPr>
            <w:rPr>
              <w:rFonts w:ascii="Calibri" w:hAnsi="Calibri" w:cs="Calibri"/>
              <w:color w:val="000000" w:themeColor="text1"/>
              <w:szCs w:val="20"/>
            </w:rPr>
            <w:id w:val="-34016393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5538F6" w:rsidRPr="00324ECD" w:rsidRDefault="005538F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6690929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5538F6" w:rsidRPr="005C18B6" w:rsidRDefault="005538F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5538F6" w:rsidRPr="005C18B6" w:rsidRDefault="005538F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5538F6" w:rsidRPr="005C18B6" w:rsidRDefault="005538F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5538F6" w:rsidRPr="005C18B6" w:rsidRDefault="005538F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5538F6" w:rsidRPr="005C18B6" w:rsidRDefault="005538F6" w:rsidP="00CF18D8">
            <w:pPr>
              <w:keepNext/>
              <w:keepLines/>
              <w:jc w:val="center"/>
              <w:rPr>
                <w:rFonts w:ascii="Calibri" w:hAnsi="Calibri" w:cs="Calibri"/>
                <w:b/>
                <w:sz w:val="26"/>
                <w:szCs w:val="26"/>
              </w:rPr>
            </w:pPr>
            <w:permStart w:id="37564395" w:edGrp="everyone"/>
            <w:r>
              <w:rPr>
                <w:rFonts w:ascii="Calibri" w:hAnsi="Calibri" w:cs="Calibri"/>
                <w:b/>
                <w:sz w:val="26"/>
                <w:szCs w:val="26"/>
              </w:rPr>
              <w:t>Configurazione strutture impianti contabili</w:t>
            </w:r>
            <w:permEnd w:id="37564395"/>
          </w:p>
        </w:tc>
        <w:tc>
          <w:tcPr>
            <w:tcW w:w="58" w:type="dxa"/>
            <w:tcBorders>
              <w:top w:val="nil"/>
              <w:left w:val="nil"/>
              <w:bottom w:val="nil"/>
              <w:right w:val="single" w:sz="4" w:space="0" w:color="auto"/>
            </w:tcBorders>
            <w:tcMar>
              <w:left w:w="0" w:type="dxa"/>
              <w:right w:w="0" w:type="dxa"/>
            </w:tcMar>
          </w:tcPr>
          <w:p w:rsidR="005538F6" w:rsidRPr="005C18B6" w:rsidRDefault="005538F6" w:rsidP="00CF18D8">
            <w:pPr>
              <w:keepNext/>
              <w:keepLines/>
              <w:rPr>
                <w:rFonts w:ascii="Calibri" w:hAnsi="Calibri" w:cs="Calibri"/>
                <w:b/>
                <w:szCs w:val="26"/>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5C18B6" w:rsidRDefault="005538F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D5543D">
            <w:pPr>
              <w:keepLines/>
              <w:rPr>
                <w:rFonts w:ascii="Calibri" w:hAnsi="Calibri" w:cs="Calibri"/>
                <w:szCs w:val="18"/>
              </w:rPr>
            </w:pPr>
          </w:p>
        </w:tc>
      </w:tr>
      <w:tr w:rsidR="005538F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5538F6" w:rsidRDefault="005538F6" w:rsidP="005538F6">
            <w:pPr>
              <w:pStyle w:val="NormaleWeb"/>
              <w:spacing w:before="60" w:beforeAutospacing="0" w:after="160" w:afterAutospacing="0"/>
              <w:jc w:val="both"/>
            </w:pPr>
            <w:permStart w:id="2143714568" w:edGrp="everyone"/>
            <w:r>
              <w:rPr>
                <w:rFonts w:ascii="Tahoma" w:hAnsi="Tahoma" w:cs="Tahoma"/>
                <w:color w:val="000000"/>
                <w:sz w:val="22"/>
                <w:szCs w:val="22"/>
              </w:rPr>
              <w:t>L’amministratore di sistema deve poter procedere alla configurazione, variazione ed eliminazione delle strutture dei diversi  impianti contabili. Per ciascun impianto contabile devono essere valorizzati i dati minimali sotto riportati:</w:t>
            </w:r>
          </w:p>
          <w:p w:rsidR="005538F6" w:rsidRDefault="005538F6" w:rsidP="005538F6">
            <w:pPr>
              <w:pStyle w:val="NormaleWeb"/>
              <w:spacing w:before="60" w:beforeAutospacing="0" w:after="60" w:afterAutospacing="0"/>
              <w:ind w:left="720" w:hanging="360"/>
              <w:jc w:val="both"/>
            </w:pPr>
            <w:r>
              <w:rPr>
                <w:rFonts w:ascii="Symbol" w:hAnsi="Symbol"/>
                <w:sz w:val="20"/>
                <w:szCs w:val="20"/>
              </w:rPr>
              <w:t></w:t>
            </w:r>
            <w:r>
              <w:rPr>
                <w:sz w:val="14"/>
                <w:szCs w:val="14"/>
              </w:rPr>
              <w:t xml:space="preserve">         </w:t>
            </w:r>
            <w:r>
              <w:rPr>
                <w:rFonts w:ascii="Tahoma" w:hAnsi="Tahoma" w:cs="Tahoma"/>
                <w:sz w:val="22"/>
                <w:szCs w:val="22"/>
              </w:rPr>
              <w:t>Codice identificativo impianto contabile</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Descrizione impianto contabile</w:t>
            </w:r>
          </w:p>
          <w:p w:rsidR="005538F6" w:rsidRDefault="005538F6" w:rsidP="005538F6">
            <w:pPr>
              <w:pStyle w:val="NormaleWeb"/>
              <w:spacing w:before="60" w:beforeAutospacing="0" w:after="60" w:afterAutospacing="0"/>
              <w:ind w:left="720" w:hanging="360"/>
              <w:jc w:val="both"/>
            </w:pPr>
            <w:r>
              <w:rPr>
                <w:rFonts w:ascii="Tahoma" w:hAnsi="Tahoma" w:cs="Tahoma"/>
                <w:color w:val="000000"/>
                <w:sz w:val="22"/>
                <w:szCs w:val="22"/>
              </w:rPr>
              <w:t>      Tipo di Template utilizzato</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inizio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Data di fine validità</w:t>
            </w:r>
          </w:p>
          <w:p w:rsidR="005538F6" w:rsidRDefault="005538F6" w:rsidP="005538F6">
            <w:pPr>
              <w:pStyle w:val="NormaleWeb"/>
              <w:spacing w:before="60" w:beforeAutospacing="0" w:after="60" w:afterAutospacing="0"/>
              <w:ind w:left="720" w:hanging="360"/>
              <w:jc w:val="both"/>
            </w:pPr>
            <w:r>
              <w:rPr>
                <w:rFonts w:ascii="Symbol" w:hAnsi="Symbol"/>
                <w:color w:val="000000"/>
                <w:sz w:val="20"/>
                <w:szCs w:val="20"/>
              </w:rPr>
              <w:t></w:t>
            </w:r>
            <w:r>
              <w:rPr>
                <w:color w:val="000000"/>
                <w:sz w:val="14"/>
                <w:szCs w:val="14"/>
              </w:rPr>
              <w:t xml:space="preserve">         </w:t>
            </w:r>
            <w:r>
              <w:rPr>
                <w:rFonts w:ascii="Tahoma" w:hAnsi="Tahoma" w:cs="Tahoma"/>
                <w:color w:val="000000"/>
                <w:sz w:val="22"/>
                <w:szCs w:val="22"/>
              </w:rPr>
              <w:t>Note</w:t>
            </w:r>
          </w:p>
          <w:p w:rsidR="005538F6" w:rsidRDefault="005538F6" w:rsidP="005538F6">
            <w:pPr>
              <w:pStyle w:val="NormaleWeb"/>
              <w:spacing w:before="60" w:beforeAutospacing="0" w:after="160" w:afterAutospacing="0"/>
              <w:jc w:val="both"/>
            </w:pPr>
            <w:r>
              <w:rPr>
                <w:rFonts w:ascii="Tahoma" w:hAnsi="Tahoma" w:cs="Tahoma"/>
                <w:b/>
                <w:bCs/>
                <w:color w:val="000000"/>
                <w:sz w:val="22"/>
                <w:szCs w:val="22"/>
              </w:rPr>
              <w:t> </w:t>
            </w:r>
          </w:p>
          <w:p w:rsidR="005538F6" w:rsidRDefault="005538F6" w:rsidP="005538F6">
            <w:pPr>
              <w:pStyle w:val="NormaleWeb"/>
              <w:spacing w:before="0" w:beforeAutospacing="0" w:after="200" w:afterAutospacing="0"/>
            </w:pPr>
          </w:p>
          <w:p w:rsidR="005538F6" w:rsidRDefault="005538F6" w:rsidP="005538F6"/>
          <w:p w:rsidR="005538F6" w:rsidRDefault="005538F6" w:rsidP="005538F6">
            <w:pPr>
              <w:pStyle w:val="NormaleWeb"/>
            </w:pPr>
          </w:p>
          <w:p w:rsidR="005538F6" w:rsidRDefault="005538F6" w:rsidP="005538F6">
            <w:pPr>
              <w:pStyle w:val="NormaleWeb"/>
            </w:pPr>
          </w:p>
          <w:p w:rsidR="005538F6" w:rsidRDefault="005538F6" w:rsidP="005538F6">
            <w:pPr>
              <w:pStyle w:val="NormaleWeb"/>
            </w:pPr>
          </w:p>
          <w:p w:rsidR="005538F6" w:rsidRDefault="005538F6" w:rsidP="005538F6">
            <w:pPr>
              <w:pStyle w:val="NormaleWeb"/>
            </w:pPr>
            <w:r>
              <w:rPr>
                <w:rFonts w:ascii="Tahoma" w:hAnsi="Tahoma" w:cs="Tahoma"/>
                <w:noProof/>
                <w:color w:val="000000"/>
                <w:sz w:val="16"/>
                <w:szCs w:val="16"/>
              </w:rPr>
              <w:lastRenderedPageBreak/>
              <w:drawing>
                <wp:inline distT="0" distB="0" distL="0" distR="0">
                  <wp:extent cx="10096500" cy="4848225"/>
                  <wp:effectExtent l="0" t="0" r="0" b="9525"/>
                  <wp:docPr id="16" name="Immagine 16" descr="http://tfsprod.mef.gov.it/tfs/Cloudify-NoiPA/WorkItemTracking/v1.0/AttachFileHandler.ashx?FileNameGuid=b216ae76-891f-4a93-8606-32117cac7a52&amp;FileName=22.%20Configurazione%20strutture%20impianti%20contab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fsprod.mef.gov.it/tfs/Cloudify-NoiPA/WorkItemTracking/v1.0/AttachFileHandler.ashx?FileNameGuid=b216ae76-891f-4a93-8606-32117cac7a52&amp;FileName=22.%20Configurazione%20strutture%20impianti%20contabili.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096500" cy="4848225"/>
                          </a:xfrm>
                          <a:prstGeom prst="rect">
                            <a:avLst/>
                          </a:prstGeom>
                          <a:noFill/>
                          <a:ln>
                            <a:noFill/>
                          </a:ln>
                        </pic:spPr>
                      </pic:pic>
                    </a:graphicData>
                  </a:graphic>
                </wp:inline>
              </w:drawing>
            </w:r>
          </w:p>
          <w:p w:rsidR="005538F6" w:rsidRDefault="005538F6" w:rsidP="005538F6">
            <w:pPr>
              <w:pStyle w:val="NormaleWeb"/>
            </w:pPr>
          </w:p>
          <w:p w:rsidR="005538F6" w:rsidRDefault="005538F6" w:rsidP="005538F6">
            <w:pPr>
              <w:pStyle w:val="NormaleWeb"/>
            </w:pPr>
            <w:r>
              <w:br/>
              <w:t>                                                                                                                                            </w:t>
            </w:r>
          </w:p>
          <w:permEnd w:id="2143714568"/>
          <w:p w:rsidR="005538F6" w:rsidRPr="005C18B6" w:rsidRDefault="005538F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D5543D">
            <w:pPr>
              <w:keepLines/>
              <w:jc w:val="both"/>
              <w:rPr>
                <w:rFonts w:ascii="Calibri" w:hAnsi="Calibri" w:cs="Calibri"/>
              </w:rPr>
            </w:pPr>
          </w:p>
        </w:tc>
      </w:tr>
      <w:tr w:rsidR="005538F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5538F6" w:rsidRPr="00A3613B" w:rsidRDefault="005538F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5538F6" w:rsidRPr="00A64A6F" w:rsidRDefault="005538F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F5701A" w:rsidRDefault="005538F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5C18B6" w:rsidRDefault="005538F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60683A" w:rsidRDefault="005538F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5538F6" w:rsidRPr="0004674F" w:rsidRDefault="005538F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5538F6" w:rsidRPr="005C18B6" w:rsidRDefault="005538F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5538F6" w:rsidRPr="005C18B6" w:rsidRDefault="005538F6" w:rsidP="00CF18D8">
            <w:pPr>
              <w:keepNext/>
              <w:keepLines/>
              <w:jc w:val="both"/>
              <w:rPr>
                <w:rFonts w:ascii="Calibri" w:hAnsi="Calibri" w:cs="Calibri"/>
                <w:szCs w:val="20"/>
              </w:rPr>
            </w:pPr>
          </w:p>
        </w:tc>
      </w:tr>
      <w:tr w:rsidR="005538F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5538F6" w:rsidRPr="005C18B6" w:rsidRDefault="005538F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5538F6" w:rsidRPr="005C18B6" w:rsidRDefault="005538F6" w:rsidP="00CF18D8">
            <w:pPr>
              <w:keepNext/>
              <w:keepLines/>
              <w:rPr>
                <w:rFonts w:ascii="Calibri" w:hAnsi="Calibri" w:cs="Calibri"/>
                <w:szCs w:val="18"/>
              </w:rPr>
            </w:pPr>
          </w:p>
        </w:tc>
      </w:tr>
      <w:tr w:rsidR="005538F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5538F6" w:rsidRPr="00AD37E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5538F6" w:rsidRPr="005C18B6"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5538F6" w:rsidRPr="00107C08" w:rsidRDefault="005538F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5538F6" w:rsidRPr="00657300" w:rsidRDefault="005538F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5538F6" w:rsidRPr="00107C08" w:rsidRDefault="005538F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5538F6" w:rsidRPr="005C18B6" w:rsidRDefault="005538F6" w:rsidP="00CF18D8">
            <w:pPr>
              <w:keepNext/>
              <w:keepLines/>
              <w:rPr>
                <w:rFonts w:ascii="Calibri" w:hAnsi="Calibri" w:cs="Calibri"/>
              </w:rPr>
            </w:pPr>
          </w:p>
        </w:tc>
      </w:tr>
      <w:tr w:rsidR="005538F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5538F6" w:rsidRPr="005C18B6" w:rsidRDefault="005538F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5538F6" w:rsidRPr="005C18B6" w:rsidRDefault="005538F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5538F6" w:rsidRPr="005C18B6" w:rsidRDefault="005538F6" w:rsidP="00CF18D8">
            <w:pPr>
              <w:keepNext/>
              <w:keepLines/>
              <w:tabs>
                <w:tab w:val="left" w:pos="4536"/>
              </w:tabs>
              <w:rPr>
                <w:rFonts w:ascii="Calibri" w:hAnsi="Calibri" w:cs="Calibri"/>
              </w:rPr>
            </w:pPr>
            <w:r>
              <w:rPr>
                <w:rFonts w:ascii="Calibri" w:hAnsi="Calibri" w:cs="Calibri"/>
              </w:rPr>
              <w:t>33983; 33984; 33985; 33986; 51729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5538F6" w:rsidRPr="005C18B6" w:rsidRDefault="005538F6" w:rsidP="00CF18D8">
            <w:pPr>
              <w:keepNext/>
              <w:keepLines/>
              <w:rPr>
                <w:rFonts w:ascii="Calibri" w:hAnsi="Calibri" w:cs="Calibri"/>
              </w:rPr>
            </w:pPr>
          </w:p>
        </w:tc>
      </w:tr>
    </w:tbl>
    <w:p w:rsidR="005538F6" w:rsidRPr="00426C9B" w:rsidRDefault="005538F6" w:rsidP="007065F3">
      <w:pPr>
        <w:spacing w:line="14" w:lineRule="exact"/>
        <w:contextualSpacing/>
        <w:jc w:val="center"/>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426C9B" w:rsidRDefault="005538F6" w:rsidP="007065F3">
      <w:pPr>
        <w:spacing w:line="14" w:lineRule="exact"/>
        <w:contextualSpacing/>
        <w:rPr>
          <w:vanish/>
          <w:sz w:val="2"/>
          <w:szCs w:val="20"/>
        </w:rPr>
      </w:pPr>
    </w:p>
    <w:p w:rsidR="005538F6" w:rsidRPr="005C18B6" w:rsidRDefault="005538F6" w:rsidP="007065F3">
      <w:pPr>
        <w:rPr>
          <w:rFonts w:ascii="Calibri" w:hAnsi="Calibri" w:cs="Calibri"/>
        </w:rPr>
      </w:pPr>
    </w:p>
    <w:p w:rsidR="005538F6" w:rsidRPr="005C18B6" w:rsidRDefault="005538F6" w:rsidP="007065F3">
      <w:pPr>
        <w:rPr>
          <w:rFonts w:ascii="Calibri" w:hAnsi="Calibri" w:cs="Calibri"/>
        </w:rPr>
      </w:pPr>
      <w:permStart w:id="1728587250" w:edGrp="everyone"/>
      <w:permEnd w:id="1728587250"/>
    </w:p>
    <w:p w:rsidR="00AB3BF1" w:rsidRDefault="00AB3BF1">
      <w:bookmarkStart w:id="14" w:name="_GoBack"/>
      <w:bookmarkEnd w:id="14"/>
    </w:p>
    <w:sectPr w:rsidR="00AB3BF1" w:rsidSect="000E7764">
      <w:headerReference w:type="default" r:id="rId47"/>
      <w:footerReference w:type="default" r:id="rId4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5538F6"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5538F6"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5538F6"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38</w:t>
          </w:r>
          <w:r w:rsidRPr="00860FFD">
            <w:rPr>
              <w:rFonts w:ascii="Tahoma" w:hAnsi="Tahoma" w:cs="Tahoma"/>
            </w:rPr>
            <w:fldChar w:fldCharType="end"/>
          </w:r>
        </w:p>
      </w:tc>
    </w:tr>
  </w:tbl>
  <w:p w:rsidR="00CB2C3F" w:rsidRPr="00860FFD" w:rsidRDefault="005538F6" w:rsidP="00014E44">
    <w:pPr>
      <w:pStyle w:val="Pidipagina"/>
      <w:widowControl w:val="0"/>
      <w:tabs>
        <w:tab w:val="clear" w:pos="4819"/>
        <w:tab w:val="center" w:pos="9356"/>
        <w:tab w:val="left" w:pos="9521"/>
      </w:tabs>
      <w:rPr>
        <w:rFonts w:ascii="Tahoma" w:hAnsi="Tahoma" w:cs="Tahoma"/>
        <w:sz w:val="2"/>
      </w:rPr>
    </w:pPr>
  </w:p>
  <w:p w:rsidR="00CB2C3F" w:rsidRDefault="005538F6" w:rsidP="00014E44">
    <w:pPr>
      <w:pStyle w:val="Pidipagina"/>
      <w:widowControl w:val="0"/>
    </w:pPr>
  </w:p>
  <w:p w:rsidR="008B00A2" w:rsidRDefault="005538F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5538F6"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5538F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62784"/>
    <w:multiLevelType w:val="multilevel"/>
    <w:tmpl w:val="3F78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036867"/>
    <w:multiLevelType w:val="multilevel"/>
    <w:tmpl w:val="1C509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F27C8B"/>
    <w:multiLevelType w:val="multilevel"/>
    <w:tmpl w:val="5B3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5538F6"/>
    <w:rsid w:val="005538F6"/>
    <w:rsid w:val="00AB3B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CBBD19-C147-4DB2-829D-A2A8BA3B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5538F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5538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38F6"/>
  </w:style>
  <w:style w:type="paragraph" w:styleId="Pidipagina">
    <w:name w:val="footer"/>
    <w:basedOn w:val="Normale"/>
    <w:link w:val="PidipaginaCarattere"/>
    <w:uiPriority w:val="99"/>
    <w:unhideWhenUsed/>
    <w:rsid w:val="005538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38F6"/>
  </w:style>
  <w:style w:type="paragraph" w:customStyle="1" w:styleId="TFSWorkitem3">
    <w:name w:val="TFS Workitem 3"/>
    <w:next w:val="Normale"/>
    <w:rsid w:val="005538F6"/>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5538F6"/>
    <w:rPr>
      <w:color w:val="0563C1" w:themeColor="hyperlink"/>
      <w:u w:val="single"/>
    </w:rPr>
  </w:style>
  <w:style w:type="character" w:styleId="Testosegnaposto">
    <w:name w:val="Placeholder Text"/>
    <w:basedOn w:val="Carpredefinitoparagrafo"/>
    <w:uiPriority w:val="99"/>
    <w:semiHidden/>
    <w:rsid w:val="005538F6"/>
    <w:rPr>
      <w:color w:val="808080"/>
    </w:rPr>
  </w:style>
  <w:style w:type="paragraph" w:styleId="NormaleWeb">
    <w:name w:val="Normal (Web)"/>
    <w:basedOn w:val="Normale"/>
    <w:uiPriority w:val="99"/>
    <w:semiHidden/>
    <w:unhideWhenUsed/>
    <w:rsid w:val="005538F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538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0792">
      <w:bodyDiv w:val="1"/>
      <w:marLeft w:val="0"/>
      <w:marRight w:val="0"/>
      <w:marTop w:val="0"/>
      <w:marBottom w:val="0"/>
      <w:divBdr>
        <w:top w:val="none" w:sz="0" w:space="0" w:color="auto"/>
        <w:left w:val="none" w:sz="0" w:space="0" w:color="auto"/>
        <w:bottom w:val="none" w:sz="0" w:space="0" w:color="auto"/>
        <w:right w:val="none" w:sz="0" w:space="0" w:color="auto"/>
      </w:divBdr>
    </w:div>
    <w:div w:id="104692116">
      <w:bodyDiv w:val="1"/>
      <w:marLeft w:val="0"/>
      <w:marRight w:val="0"/>
      <w:marTop w:val="0"/>
      <w:marBottom w:val="0"/>
      <w:divBdr>
        <w:top w:val="none" w:sz="0" w:space="0" w:color="auto"/>
        <w:left w:val="none" w:sz="0" w:space="0" w:color="auto"/>
        <w:bottom w:val="none" w:sz="0" w:space="0" w:color="auto"/>
        <w:right w:val="none" w:sz="0" w:space="0" w:color="auto"/>
      </w:divBdr>
    </w:div>
    <w:div w:id="189221019">
      <w:bodyDiv w:val="1"/>
      <w:marLeft w:val="0"/>
      <w:marRight w:val="0"/>
      <w:marTop w:val="0"/>
      <w:marBottom w:val="0"/>
      <w:divBdr>
        <w:top w:val="none" w:sz="0" w:space="0" w:color="auto"/>
        <w:left w:val="none" w:sz="0" w:space="0" w:color="auto"/>
        <w:bottom w:val="none" w:sz="0" w:space="0" w:color="auto"/>
        <w:right w:val="none" w:sz="0" w:space="0" w:color="auto"/>
      </w:divBdr>
    </w:div>
    <w:div w:id="239600602">
      <w:bodyDiv w:val="1"/>
      <w:marLeft w:val="0"/>
      <w:marRight w:val="0"/>
      <w:marTop w:val="0"/>
      <w:marBottom w:val="0"/>
      <w:divBdr>
        <w:top w:val="none" w:sz="0" w:space="0" w:color="auto"/>
        <w:left w:val="none" w:sz="0" w:space="0" w:color="auto"/>
        <w:bottom w:val="none" w:sz="0" w:space="0" w:color="auto"/>
        <w:right w:val="none" w:sz="0" w:space="0" w:color="auto"/>
      </w:divBdr>
    </w:div>
    <w:div w:id="272133480">
      <w:bodyDiv w:val="1"/>
      <w:marLeft w:val="0"/>
      <w:marRight w:val="0"/>
      <w:marTop w:val="0"/>
      <w:marBottom w:val="0"/>
      <w:divBdr>
        <w:top w:val="none" w:sz="0" w:space="0" w:color="auto"/>
        <w:left w:val="none" w:sz="0" w:space="0" w:color="auto"/>
        <w:bottom w:val="none" w:sz="0" w:space="0" w:color="auto"/>
        <w:right w:val="none" w:sz="0" w:space="0" w:color="auto"/>
      </w:divBdr>
      <w:divsChild>
        <w:div w:id="18541478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03047202">
      <w:bodyDiv w:val="1"/>
      <w:marLeft w:val="0"/>
      <w:marRight w:val="0"/>
      <w:marTop w:val="0"/>
      <w:marBottom w:val="0"/>
      <w:divBdr>
        <w:top w:val="none" w:sz="0" w:space="0" w:color="auto"/>
        <w:left w:val="none" w:sz="0" w:space="0" w:color="auto"/>
        <w:bottom w:val="none" w:sz="0" w:space="0" w:color="auto"/>
        <w:right w:val="none" w:sz="0" w:space="0" w:color="auto"/>
      </w:divBdr>
      <w:divsChild>
        <w:div w:id="3554279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4429224">
      <w:bodyDiv w:val="1"/>
      <w:marLeft w:val="0"/>
      <w:marRight w:val="0"/>
      <w:marTop w:val="0"/>
      <w:marBottom w:val="0"/>
      <w:divBdr>
        <w:top w:val="none" w:sz="0" w:space="0" w:color="auto"/>
        <w:left w:val="none" w:sz="0" w:space="0" w:color="auto"/>
        <w:bottom w:val="none" w:sz="0" w:space="0" w:color="auto"/>
        <w:right w:val="none" w:sz="0" w:space="0" w:color="auto"/>
      </w:divBdr>
    </w:div>
    <w:div w:id="954167269">
      <w:bodyDiv w:val="1"/>
      <w:marLeft w:val="0"/>
      <w:marRight w:val="0"/>
      <w:marTop w:val="0"/>
      <w:marBottom w:val="0"/>
      <w:divBdr>
        <w:top w:val="none" w:sz="0" w:space="0" w:color="auto"/>
        <w:left w:val="none" w:sz="0" w:space="0" w:color="auto"/>
        <w:bottom w:val="none" w:sz="0" w:space="0" w:color="auto"/>
        <w:right w:val="none" w:sz="0" w:space="0" w:color="auto"/>
      </w:divBdr>
    </w:div>
    <w:div w:id="1425564395">
      <w:bodyDiv w:val="1"/>
      <w:marLeft w:val="0"/>
      <w:marRight w:val="0"/>
      <w:marTop w:val="0"/>
      <w:marBottom w:val="0"/>
      <w:divBdr>
        <w:top w:val="none" w:sz="0" w:space="0" w:color="auto"/>
        <w:left w:val="none" w:sz="0" w:space="0" w:color="auto"/>
        <w:bottom w:val="none" w:sz="0" w:space="0" w:color="auto"/>
        <w:right w:val="none" w:sz="0" w:space="0" w:color="auto"/>
      </w:divBdr>
    </w:div>
    <w:div w:id="1788116011">
      <w:bodyDiv w:val="1"/>
      <w:marLeft w:val="0"/>
      <w:marRight w:val="0"/>
      <w:marTop w:val="0"/>
      <w:marBottom w:val="0"/>
      <w:divBdr>
        <w:top w:val="none" w:sz="0" w:space="0" w:color="auto"/>
        <w:left w:val="none" w:sz="0" w:space="0" w:color="auto"/>
        <w:bottom w:val="none" w:sz="0" w:space="0" w:color="auto"/>
        <w:right w:val="none" w:sz="0" w:space="0" w:color="auto"/>
      </w:divBdr>
    </w:div>
    <w:div w:id="1931087246">
      <w:bodyDiv w:val="1"/>
      <w:marLeft w:val="0"/>
      <w:marRight w:val="0"/>
      <w:marTop w:val="0"/>
      <w:marBottom w:val="0"/>
      <w:divBdr>
        <w:top w:val="none" w:sz="0" w:space="0" w:color="auto"/>
        <w:left w:val="none" w:sz="0" w:space="0" w:color="auto"/>
        <w:bottom w:val="none" w:sz="0" w:space="0" w:color="auto"/>
        <w:right w:val="none" w:sz="0" w:space="0" w:color="auto"/>
      </w:divBdr>
    </w:div>
    <w:div w:id="2002349755">
      <w:bodyDiv w:val="1"/>
      <w:marLeft w:val="0"/>
      <w:marRight w:val="0"/>
      <w:marTop w:val="0"/>
      <w:marBottom w:val="0"/>
      <w:divBdr>
        <w:top w:val="none" w:sz="0" w:space="0" w:color="auto"/>
        <w:left w:val="none" w:sz="0" w:space="0" w:color="auto"/>
        <w:bottom w:val="none" w:sz="0" w:space="0" w:color="auto"/>
        <w:right w:val="none" w:sz="0" w:space="0" w:color="auto"/>
      </w:divBdr>
    </w:div>
    <w:div w:id="2095587594">
      <w:bodyDiv w:val="1"/>
      <w:marLeft w:val="0"/>
      <w:marRight w:val="0"/>
      <w:marTop w:val="0"/>
      <w:marBottom w:val="0"/>
      <w:divBdr>
        <w:top w:val="none" w:sz="0" w:space="0" w:color="auto"/>
        <w:left w:val="none" w:sz="0" w:space="0" w:color="auto"/>
        <w:bottom w:val="none" w:sz="0" w:space="0" w:color="auto"/>
        <w:right w:val="none" w:sz="0" w:space="0" w:color="auto"/>
      </w:divBdr>
    </w:div>
    <w:div w:id="2124305367">
      <w:bodyDiv w:val="1"/>
      <w:marLeft w:val="0"/>
      <w:marRight w:val="0"/>
      <w:marTop w:val="0"/>
      <w:marBottom w:val="0"/>
      <w:divBdr>
        <w:top w:val="none" w:sz="0" w:space="0" w:color="auto"/>
        <w:left w:val="none" w:sz="0" w:space="0" w:color="auto"/>
        <w:bottom w:val="none" w:sz="0" w:space="0" w:color="auto"/>
        <w:right w:val="none" w:sz="0" w:space="0" w:color="auto"/>
      </w:divBdr>
      <w:divsChild>
        <w:div w:id="2034308233">
          <w:marLeft w:val="0"/>
          <w:marRight w:val="0"/>
          <w:marTop w:val="60"/>
          <w:marBottom w:val="160"/>
          <w:divBdr>
            <w:top w:val="none" w:sz="0" w:space="0" w:color="auto"/>
            <w:left w:val="none" w:sz="0" w:space="0" w:color="auto"/>
            <w:bottom w:val="none" w:sz="0" w:space="0" w:color="auto"/>
            <w:right w:val="none" w:sz="0" w:space="0" w:color="auto"/>
          </w:divBdr>
        </w:div>
        <w:div w:id="1816991256">
          <w:marLeft w:val="0"/>
          <w:marRight w:val="0"/>
          <w:marTop w:val="6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tfsprod.mef.gov.it/tfs/cloudify-noipa/WorkItemTracking/workitem.aspx?artifactMoniker=21089&amp;Rev=127" TargetMode="External"/><Relationship Id="rId26" Type="http://schemas.openxmlformats.org/officeDocument/2006/relationships/hyperlink" Target="http://tfsprod.mef.gov.it/tfs/web/wi.aspx?pcguid=3386bb2f-8429-493a-9ac0-2b7a589ccf8c&amp;id=21094" TargetMode="External"/><Relationship Id="rId39" Type="http://schemas.openxmlformats.org/officeDocument/2006/relationships/hyperlink" Target="http://tfsprod.mef.gov.it/tfs/cloudify-noipa/WorkItemTracking/workitem.aspx?artifactMoniker=21098&amp;Rev=125" TargetMode="External"/><Relationship Id="rId3" Type="http://schemas.openxmlformats.org/officeDocument/2006/relationships/settings" Target="settings.xml"/><Relationship Id="rId21" Type="http://schemas.openxmlformats.org/officeDocument/2006/relationships/hyperlink" Target="http://tfsprod.mef.gov.it/tfs/cloudify-noipa/WorkItemTracking/workitem.aspx?artifactMoniker=21091&amp;Rev=136" TargetMode="External"/><Relationship Id="rId34" Type="http://schemas.openxmlformats.org/officeDocument/2006/relationships/image" Target="media/image10.jpeg"/><Relationship Id="rId42" Type="http://schemas.openxmlformats.org/officeDocument/2006/relationships/hyperlink" Target="http://tfsprod.mef.gov.it/tfs/cloudify-noipa/WorkItemTracking/workitem.aspx?artifactMoniker=21104&amp;Rev=96" TargetMode="External"/><Relationship Id="rId47" Type="http://schemas.openxmlformats.org/officeDocument/2006/relationships/header" Target="header1.xml"/><Relationship Id="rId50" Type="http://schemas.openxmlformats.org/officeDocument/2006/relationships/glossaryDocument" Target="glossary/document.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21086&amp;Rev=117" TargetMode="External"/><Relationship Id="rId17" Type="http://schemas.openxmlformats.org/officeDocument/2006/relationships/hyperlink" Target="http://tfsprod.mef.gov.it/tfs/web/wi.aspx?pcguid=3386bb2f-8429-493a-9ac0-2b7a589ccf8c&amp;id=21089" TargetMode="External"/><Relationship Id="rId25" Type="http://schemas.openxmlformats.org/officeDocument/2006/relationships/image" Target="media/image7.jpeg"/><Relationship Id="rId33" Type="http://schemas.openxmlformats.org/officeDocument/2006/relationships/hyperlink" Target="http://tfsprod.mef.gov.it/tfs/cloudify-noipa/WorkItemTracking/workitem.aspx?artifactMoniker=21096&amp;Rev=100" TargetMode="External"/><Relationship Id="rId38" Type="http://schemas.openxmlformats.org/officeDocument/2006/relationships/hyperlink" Target="http://tfsprod.mef.gov.it/tfs/web/wi.aspx?pcguid=3386bb2f-8429-493a-9ac0-2b7a589ccf8c&amp;id=21098" TargetMode="External"/><Relationship Id="rId46"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tfsprod.mef.gov.it/tfs/web/wi.aspx?pcguid=3386bb2f-8429-493a-9ac0-2b7a589ccf8c&amp;id=21091" TargetMode="External"/><Relationship Id="rId29" Type="http://schemas.openxmlformats.org/officeDocument/2006/relationships/hyperlink" Target="http://tfsprod.mef.gov.it/tfs/web/wi.aspx?pcguid=3386bb2f-8429-493a-9ac0-2b7a589ccf8c&amp;id=21095" TargetMode="External"/><Relationship Id="rId41" Type="http://schemas.openxmlformats.org/officeDocument/2006/relationships/hyperlink" Target="http://tfsprod.mef.gov.it/tfs/web/wi.aspx?pcguid=3386bb2f-8429-493a-9ac0-2b7a589ccf8c&amp;id=21104" TargetMode="Externa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21084&amp;Rev=115" TargetMode="External"/><Relationship Id="rId11" Type="http://schemas.openxmlformats.org/officeDocument/2006/relationships/hyperlink" Target="http://tfsprod.mef.gov.it/tfs/web/wi.aspx?pcguid=3386bb2f-8429-493a-9ac0-2b7a589ccf8c&amp;id=21086" TargetMode="External"/><Relationship Id="rId24" Type="http://schemas.openxmlformats.org/officeDocument/2006/relationships/hyperlink" Target="http://tfsprod.mef.gov.it/tfs/cloudify-noipa/WorkItemTracking/workitem.aspx?artifactMoniker=21093&amp;Rev=97" TargetMode="External"/><Relationship Id="rId32" Type="http://schemas.openxmlformats.org/officeDocument/2006/relationships/hyperlink" Target="http://tfsprod.mef.gov.it/tfs/web/wi.aspx?pcguid=3386bb2f-8429-493a-9ac0-2b7a589ccf8c&amp;id=21096" TargetMode="External"/><Relationship Id="rId37" Type="http://schemas.openxmlformats.org/officeDocument/2006/relationships/image" Target="media/image11.jpeg"/><Relationship Id="rId40" Type="http://schemas.openxmlformats.org/officeDocument/2006/relationships/image" Target="media/image12.jpeg"/><Relationship Id="rId45" Type="http://schemas.openxmlformats.org/officeDocument/2006/relationships/hyperlink" Target="http://tfsprod.mef.gov.it/tfs/cloudify-noipa/WorkItemTracking/workitem.aspx?artifactMoniker=21105&amp;Rev=125" TargetMode="External"/><Relationship Id="rId5" Type="http://schemas.openxmlformats.org/officeDocument/2006/relationships/hyperlink" Target="http://tfsprod.mef.gov.it/tfs/web/wi.aspx?pcguid=3386bb2f-8429-493a-9ac0-2b7a589ccf8c&amp;id=21084" TargetMode="External"/><Relationship Id="rId15" Type="http://schemas.openxmlformats.org/officeDocument/2006/relationships/hyperlink" Target="http://tfsprod.mef.gov.it/tfs/cloudify-noipa/WorkItemTracking/workitem.aspx?artifactMoniker=21088&amp;Rev=108" TargetMode="External"/><Relationship Id="rId23" Type="http://schemas.openxmlformats.org/officeDocument/2006/relationships/hyperlink" Target="http://tfsprod.mef.gov.it/tfs/web/wi.aspx?pcguid=3386bb2f-8429-493a-9ac0-2b7a589ccf8c&amp;id=21093" TargetMode="External"/><Relationship Id="rId28" Type="http://schemas.openxmlformats.org/officeDocument/2006/relationships/image" Target="media/image8.jpeg"/><Relationship Id="rId36" Type="http://schemas.openxmlformats.org/officeDocument/2006/relationships/hyperlink" Target="http://tfsprod.mef.gov.it/tfs/cloudify-noipa/WorkItemTracking/workitem.aspx?artifactMoniker=21097&amp;Rev=113" TargetMode="Externa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jpeg"/><Relationship Id="rId31" Type="http://schemas.openxmlformats.org/officeDocument/2006/relationships/image" Target="media/image9.jpeg"/><Relationship Id="rId44" Type="http://schemas.openxmlformats.org/officeDocument/2006/relationships/hyperlink" Target="http://tfsprod.mef.gov.it/tfs/web/wi.aspx?pcguid=3386bb2f-8429-493a-9ac0-2b7a589ccf8c&amp;id=21105" TargetMode="Externa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21085&amp;Rev=121" TargetMode="External"/><Relationship Id="rId14" Type="http://schemas.openxmlformats.org/officeDocument/2006/relationships/hyperlink" Target="http://tfsprod.mef.gov.it/tfs/web/wi.aspx?pcguid=3386bb2f-8429-493a-9ac0-2b7a589ccf8c&amp;id=21088" TargetMode="External"/><Relationship Id="rId22" Type="http://schemas.openxmlformats.org/officeDocument/2006/relationships/image" Target="media/image6.jpeg"/><Relationship Id="rId27" Type="http://schemas.openxmlformats.org/officeDocument/2006/relationships/hyperlink" Target="http://tfsprod.mef.gov.it/tfs/cloudify-noipa/WorkItemTracking/workitem.aspx?artifactMoniker=21094&amp;Rev=107" TargetMode="External"/><Relationship Id="rId30" Type="http://schemas.openxmlformats.org/officeDocument/2006/relationships/hyperlink" Target="http://tfsprod.mef.gov.it/tfs/cloudify-noipa/WorkItemTracking/workitem.aspx?artifactMoniker=21095&amp;Rev=92" TargetMode="External"/><Relationship Id="rId35" Type="http://schemas.openxmlformats.org/officeDocument/2006/relationships/hyperlink" Target="http://tfsprod.mef.gov.it/tfs/web/wi.aspx?pcguid=3386bb2f-8429-493a-9ac0-2b7a589ccf8c&amp;id=21097" TargetMode="External"/><Relationship Id="rId43" Type="http://schemas.openxmlformats.org/officeDocument/2006/relationships/image" Target="media/image13.jpeg"/><Relationship Id="rId48" Type="http://schemas.openxmlformats.org/officeDocument/2006/relationships/footer" Target="footer1.xml"/><Relationship Id="rId8" Type="http://schemas.openxmlformats.org/officeDocument/2006/relationships/hyperlink" Target="http://tfsprod.mef.gov.it/tfs/web/wi.aspx?pcguid=3386bb2f-8429-493a-9ac0-2b7a589ccf8c&amp;id=21085" TargetMode="Externa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6.jpg"/></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60FE0533-77E4-4413-8D4A-9AB2E3A13BDE}"/>
      </w:docPartPr>
      <w:docPartBody>
        <w:p w:rsidR="00000000" w:rsidRDefault="00A343A0">
          <w:r w:rsidRPr="00A566FF">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3A0"/>
    <w:rsid w:val="00A343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A343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39</Pages>
  <Words>9064</Words>
  <Characters>51669</Characters>
  <Application>Microsoft Office Word</Application>
  <DocSecurity>0</DocSecurity>
  <Lines>430</Lines>
  <Paragraphs>121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1</cp:revision>
  <dcterms:created xsi:type="dcterms:W3CDTF">2020-11-11T14:25:00Z</dcterms:created>
  <dcterms:modified xsi:type="dcterms:W3CDTF">2020-11-11T14:38:00Z</dcterms:modified>
</cp:coreProperties>
</file>